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lineRule="auto" w:line="240" w:before="126" w:after="6"/>
        <w:jc w:val="right"/>
        <w:rPr>
          <w:rFonts w:ascii="Times New Roman" w:hAnsi="Times New Roman" w:cs="Times New Roman"/>
          <w:sz w:val="20"/>
          <w:szCs w:val="20"/>
        </w:rPr>
      </w:pPr>
      <w:r>
        <w:rPr>
          <w:rFonts w:cs="Times New Roman" w:ascii="Times New Roman" w:hAnsi="Times New Roman"/>
          <w:sz w:val="20"/>
          <w:szCs w:val="20"/>
        </w:rPr>
        <w:t>Allegato A</w:t>
      </w:r>
    </w:p>
    <w:p>
      <w:pPr>
        <w:pStyle w:val="Heading4"/>
        <w:spacing w:lineRule="auto" w:line="240" w:before="126" w:after="6"/>
        <w:jc w:val="center"/>
        <w:rPr>
          <w:b/>
          <w:bCs/>
          <w:i w:val="false"/>
          <w:i w:val="false"/>
          <w:iCs w:val="false"/>
          <w:sz w:val="24"/>
          <w:szCs w:val="24"/>
        </w:rPr>
      </w:pPr>
      <w:r>
        <w:rPr>
          <w:rFonts w:eastAsia="Times New Roman" w:cs="Times New Roman" w:ascii="Times New Roman" w:hAnsi="Times New Roman"/>
          <w:b/>
          <w:bCs/>
          <w:i w:val="false"/>
          <w:iCs w:val="false"/>
          <w:sz w:val="24"/>
          <w:szCs w:val="24"/>
        </w:rPr>
        <w:t>ISCRIZIONE AI CENTRI RICREATIVI ESTIVI ANNO 2024</w:t>
      </w:r>
    </w:p>
    <w:p>
      <w:pPr>
        <w:pStyle w:val="Heading4"/>
        <w:numPr>
          <w:ilvl w:val="0"/>
          <w:numId w:val="1"/>
        </w:numPr>
        <w:spacing w:lineRule="auto" w:line="240" w:before="126" w:after="6"/>
        <w:ind w:hanging="0" w:left="0" w:right="0"/>
        <w:jc w:val="center"/>
        <w:rPr>
          <w:b/>
          <w:bCs/>
        </w:rPr>
      </w:pPr>
      <w:r>
        <w:rPr>
          <w:rFonts w:eastAsia="Times New Roman" w:cs="Times New Roman" w:ascii="Times New Roman" w:hAnsi="Times New Roman"/>
          <w:b/>
          <w:bCs/>
          <w:sz w:val="24"/>
          <w:szCs w:val="24"/>
        </w:rPr>
        <w:t xml:space="preserve">Le domande sono da presentare esclusivamente on line </w:t>
      </w:r>
    </w:p>
    <w:p>
      <w:pPr>
        <w:pStyle w:val="Heading4"/>
        <w:numPr>
          <w:ilvl w:val="0"/>
          <w:numId w:val="1"/>
        </w:numPr>
        <w:spacing w:lineRule="auto" w:line="240" w:before="126" w:after="6"/>
        <w:ind w:hanging="0" w:left="0" w:right="0"/>
        <w:jc w:val="center"/>
        <w:rPr>
          <w:highlight w:val="none"/>
          <w:shd w:fill="auto" w:val="clear"/>
        </w:rPr>
      </w:pPr>
      <w:r>
        <w:rPr>
          <w:rFonts w:eastAsia="Times New Roman" w:cs="Times New Roman" w:ascii="Times New Roman" w:hAnsi="Times New Roman"/>
          <w:b/>
          <w:bCs/>
          <w:sz w:val="24"/>
          <w:szCs w:val="24"/>
          <w:shd w:fill="auto" w:val="clear"/>
        </w:rPr>
        <w:t>scadenza martedì 30 aprile 2024</w:t>
      </w:r>
    </w:p>
    <w:p>
      <w:pPr>
        <w:pStyle w:val="BodyTextIndent"/>
        <w:spacing w:before="240" w:after="0"/>
        <w:ind w:hanging="0" w:left="0" w:right="0"/>
        <w:jc w:val="center"/>
        <w:rPr>
          <w:bCs/>
          <w:i/>
          <w:i/>
          <w:color w:val="212121"/>
          <w:sz w:val="26"/>
          <w:szCs w:val="26"/>
          <w:u w:val="none" w:color="212121"/>
          <w:lang w:val="it-IT"/>
        </w:rPr>
      </w:pPr>
      <w:r>
        <w:rPr>
          <w:rFonts w:eastAsia="Times New Roman" w:cs="Times New Roman"/>
          <w:b/>
          <w:sz w:val="28"/>
          <w:szCs w:val="28"/>
        </w:rPr>
        <w:t>Si rende noto</w:t>
      </w:r>
    </w:p>
    <w:p>
      <w:pPr>
        <w:pStyle w:val="BodyTextIndent"/>
        <w:spacing w:before="240" w:after="0"/>
        <w:ind w:hanging="0" w:left="0" w:right="0"/>
        <w:jc w:val="both"/>
        <w:rPr/>
      </w:pPr>
      <w:r>
        <w:rPr>
          <w:rFonts w:eastAsia="Times New Roman" w:cs="Times New Roman"/>
          <w:sz w:val="24"/>
          <w:szCs w:val="24"/>
        </w:rPr>
        <w:t xml:space="preserve">che il Comune di Cesenatico </w:t>
      </w:r>
      <w:r>
        <w:rPr>
          <w:rFonts w:eastAsia="Times New Roman" w:cs="Times New Roman"/>
          <w:b/>
          <w:bCs/>
          <w:sz w:val="24"/>
          <w:szCs w:val="24"/>
        </w:rPr>
        <w:t>da lunedì 1 luglio 2024 a</w:t>
      </w:r>
      <w:r>
        <w:rPr>
          <w:rFonts w:eastAsia="Times New Roman" w:cs="Times New Roman"/>
          <w:b/>
          <w:bCs/>
          <w:sz w:val="24"/>
          <w:szCs w:val="24"/>
          <w:shd w:fill="auto" w:val="clear"/>
        </w:rPr>
        <w:t xml:space="preserve"> sabato 31 agosto 2024</w:t>
      </w:r>
      <w:r>
        <w:rPr>
          <w:rFonts w:eastAsia="Times New Roman" w:cs="Times New Roman"/>
          <w:sz w:val="24"/>
          <w:szCs w:val="24"/>
          <w:shd w:fill="auto" w:val="clear"/>
        </w:rPr>
        <w:t xml:space="preserve"> </w:t>
      </w:r>
      <w:r>
        <w:rPr>
          <w:rFonts w:eastAsia="Times New Roman" w:cs="Times New Roman"/>
          <w:sz w:val="24"/>
          <w:szCs w:val="24"/>
        </w:rPr>
        <w:t xml:space="preserve">intende promuovere la realizzazione dei seguenti Centri ricreativi estivi comunali a carattere socio-educativo (CRE), per complessivi n. </w:t>
      </w:r>
      <w:r>
        <w:rPr>
          <w:rFonts w:eastAsia="Times New Roman" w:cs="Times New Roman"/>
          <w:sz w:val="24"/>
          <w:szCs w:val="24"/>
          <w:lang w:eastAsia="ar-SA"/>
        </w:rPr>
        <w:t>160</w:t>
      </w:r>
      <w:r>
        <w:rPr>
          <w:rFonts w:eastAsia="Times New Roman" w:cs="Times New Roman"/>
          <w:sz w:val="24"/>
          <w:szCs w:val="24"/>
        </w:rPr>
        <w:t xml:space="preserve"> bambini per ciascun mese:</w:t>
      </w:r>
    </w:p>
    <w:tbl>
      <w:tblPr>
        <w:tblW w:w="10006" w:type="dxa"/>
        <w:jc w:val="left"/>
        <w:tblInd w:w="-45" w:type="dxa"/>
        <w:tblLayout w:type="fixed"/>
        <w:tblCellMar>
          <w:top w:w="0" w:type="dxa"/>
          <w:left w:w="70" w:type="dxa"/>
          <w:bottom w:w="0" w:type="dxa"/>
          <w:right w:w="70" w:type="dxa"/>
        </w:tblCellMar>
      </w:tblPr>
      <w:tblGrid>
        <w:gridCol w:w="1521"/>
        <w:gridCol w:w="5626"/>
        <w:gridCol w:w="2859"/>
      </w:tblGrid>
      <w:tr>
        <w:trPr>
          <w:trHeight w:val="714" w:hRule="atLeast"/>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240" w:after="60"/>
              <w:ind w:hanging="0" w:right="0"/>
              <w:jc w:val="both"/>
              <w:rPr>
                <w:i w:val="false"/>
                <w:i w:val="false"/>
                <w:iCs w:val="false"/>
                <w:sz w:val="24"/>
                <w:szCs w:val="24"/>
                <w:u w:val="double"/>
              </w:rPr>
            </w:pPr>
            <w:r>
              <w:rPr>
                <w:rFonts w:eastAsia="Times New Roman" w:cs="Times New Roman"/>
                <w:b/>
                <w:i w:val="false"/>
                <w:iCs w:val="false"/>
                <w:sz w:val="24"/>
                <w:szCs w:val="24"/>
                <w:u w:val="double"/>
              </w:rPr>
              <w:t>Centro Estivo per l’Infanzia</w:t>
            </w:r>
          </w:p>
        </w:tc>
        <w:tc>
          <w:tcPr>
            <w:tcW w:w="5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120" w:after="0"/>
              <w:ind w:hanging="0" w:left="357" w:right="0"/>
              <w:jc w:val="both"/>
              <w:rPr>
                <w:i w:val="false"/>
                <w:i w:val="false"/>
                <w:iCs w:val="false"/>
                <w:sz w:val="24"/>
                <w:szCs w:val="24"/>
              </w:rPr>
            </w:pPr>
            <w:r>
              <w:rPr>
                <w:rFonts w:eastAsia="Times New Roman" w:cs="Times New Roman"/>
                <w:i w:val="false"/>
                <w:iCs w:val="false"/>
                <w:sz w:val="24"/>
                <w:szCs w:val="24"/>
              </w:rPr>
              <w:t>per bambine e bambini in età di frequenza di scuola dell’infanzia (scuola materna), a partire dai 3 anni compiuti</w:t>
            </w:r>
          </w:p>
        </w:tc>
        <w:tc>
          <w:tcPr>
            <w:tcW w:w="28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tabs>
                <w:tab w:val="clear" w:pos="709"/>
              </w:tabs>
              <w:suppressAutoHyphens w:val="true"/>
              <w:bidi w:val="0"/>
              <w:spacing w:before="120" w:after="0"/>
              <w:ind w:hanging="0" w:left="113" w:right="0"/>
              <w:jc w:val="both"/>
              <w:rPr>
                <w:rFonts w:ascii="Times New Roman" w:hAnsi="Times New Roman" w:cs="Times New Roman"/>
                <w:bCs/>
                <w:i w:val="false"/>
                <w:i w:val="false"/>
                <w:iCs w:val="false"/>
                <w:color w:val="212121"/>
                <w:sz w:val="24"/>
                <w:szCs w:val="24"/>
                <w:u w:val="none" w:color="212121"/>
                <w:lang w:val="it-IT"/>
              </w:rPr>
            </w:pPr>
            <w:r>
              <w:rPr>
                <w:rFonts w:cs="Times New Roman"/>
                <w:bCs/>
                <w:i w:val="false"/>
                <w:iCs w:val="false"/>
                <w:color w:val="212121"/>
                <w:sz w:val="24"/>
                <w:szCs w:val="24"/>
                <w:u w:val="none" w:color="212121"/>
                <w:lang w:val="it-IT"/>
              </w:rPr>
              <w:t>presso la scuola dell’infanzia “Arcobaleno” in via Crem</w:t>
            </w:r>
            <w:r>
              <w:rPr>
                <w:rFonts w:cs="Times New Roman"/>
                <w:bCs/>
                <w:i w:val="false"/>
                <w:iCs w:val="false"/>
                <w:color w:val="212121"/>
                <w:sz w:val="24"/>
                <w:szCs w:val="24"/>
                <w:u w:val="none" w:color="212121"/>
                <w:shd w:fill="auto" w:val="clear"/>
                <w:lang w:val="it-IT"/>
              </w:rPr>
              <w:t>ona n.15</w:t>
            </w:r>
          </w:p>
        </w:tc>
      </w:tr>
      <w:tr>
        <w:trPr>
          <w:trHeight w:val="799" w:hRule="atLeast"/>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240" w:after="60"/>
              <w:ind w:hanging="0" w:right="0"/>
              <w:jc w:val="both"/>
              <w:rPr>
                <w:i w:val="false"/>
                <w:i w:val="false"/>
                <w:iCs w:val="false"/>
                <w:sz w:val="24"/>
                <w:szCs w:val="24"/>
                <w:u w:val="double"/>
              </w:rPr>
            </w:pPr>
            <w:r>
              <w:rPr>
                <w:rFonts w:eastAsia="Times New Roman" w:cs="Times New Roman"/>
                <w:b/>
                <w:i w:val="false"/>
                <w:iCs w:val="false"/>
                <w:sz w:val="24"/>
                <w:szCs w:val="24"/>
                <w:u w:val="double"/>
              </w:rPr>
              <w:t>Parco Giochi Estivo</w:t>
            </w:r>
          </w:p>
        </w:tc>
        <w:tc>
          <w:tcPr>
            <w:tcW w:w="5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120" w:after="0"/>
              <w:ind w:hanging="0" w:left="357" w:right="0"/>
              <w:jc w:val="both"/>
              <w:rPr>
                <w:i w:val="false"/>
                <w:i w:val="false"/>
                <w:iCs w:val="false"/>
                <w:sz w:val="24"/>
                <w:szCs w:val="24"/>
              </w:rPr>
            </w:pPr>
            <w:r>
              <w:rPr>
                <w:rFonts w:eastAsia="Times New Roman" w:cs="Times New Roman"/>
                <w:i w:val="false"/>
                <w:iCs w:val="false"/>
                <w:sz w:val="24"/>
                <w:szCs w:val="24"/>
              </w:rPr>
              <w:t>per bambine e bambini frequentanti la scuola primaria (scuola elementare) nell’anno scolastico 202</w:t>
            </w:r>
            <w:r>
              <w:rPr>
                <w:rFonts w:eastAsia="Times New Roman" w:cs="Times New Roman"/>
                <w:i w:val="false"/>
                <w:iCs w:val="false"/>
                <w:sz w:val="24"/>
                <w:szCs w:val="24"/>
                <w:lang w:eastAsia="ar-SA"/>
              </w:rPr>
              <w:t>3</w:t>
            </w:r>
            <w:r>
              <w:rPr>
                <w:rFonts w:eastAsia="Times New Roman" w:cs="Times New Roman"/>
                <w:i w:val="false"/>
                <w:iCs w:val="false"/>
                <w:sz w:val="24"/>
                <w:szCs w:val="24"/>
              </w:rPr>
              <w:t>/202</w:t>
            </w:r>
            <w:r>
              <w:rPr>
                <w:rFonts w:eastAsia="Times New Roman" w:cs="Times New Roman"/>
                <w:i w:val="false"/>
                <w:iCs w:val="false"/>
                <w:sz w:val="24"/>
                <w:szCs w:val="24"/>
                <w:lang w:eastAsia="ar-SA"/>
              </w:rPr>
              <w:t>4</w:t>
            </w:r>
          </w:p>
        </w:tc>
        <w:tc>
          <w:tcPr>
            <w:tcW w:w="28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tabs>
                <w:tab w:val="clear" w:pos="709"/>
              </w:tabs>
              <w:suppressAutoHyphens w:val="true"/>
              <w:bidi w:val="0"/>
              <w:spacing w:before="120" w:after="0"/>
              <w:ind w:hanging="0" w:left="113" w:right="0"/>
              <w:jc w:val="both"/>
              <w:rPr>
                <w:rFonts w:ascii="Times New Roman" w:hAnsi="Times New Roman" w:cs="Times New Roman"/>
                <w:bCs/>
                <w:i w:val="false"/>
                <w:i w:val="false"/>
                <w:iCs w:val="false"/>
                <w:color w:val="212121"/>
                <w:sz w:val="24"/>
                <w:szCs w:val="24"/>
                <w:u w:val="none" w:color="212121"/>
                <w:lang w:val="it-IT"/>
              </w:rPr>
            </w:pPr>
            <w:r>
              <w:rPr>
                <w:rFonts w:cs="Times New Roman"/>
                <w:bCs/>
                <w:i w:val="false"/>
                <w:iCs w:val="false"/>
                <w:color w:val="212121"/>
                <w:sz w:val="24"/>
                <w:szCs w:val="24"/>
                <w:u w:val="none" w:color="212121"/>
                <w:lang w:val="it-IT"/>
              </w:rPr>
              <w:t>presso la scuola primaria L.da Vinci, in via Caboto n. 21</w:t>
            </w:r>
          </w:p>
          <w:p>
            <w:pPr>
              <w:pStyle w:val="Normal"/>
              <w:widowControl w:val="false"/>
              <w:tabs>
                <w:tab w:val="clear" w:pos="709"/>
              </w:tabs>
              <w:spacing w:before="120" w:after="0"/>
              <w:ind w:hanging="0" w:left="170" w:right="0"/>
              <w:jc w:val="both"/>
              <w:rPr>
                <w:bCs/>
                <w:i w:val="false"/>
                <w:i w:val="false"/>
                <w:iCs w:val="false"/>
                <w:color w:val="212121"/>
                <w:sz w:val="24"/>
                <w:szCs w:val="24"/>
                <w:u w:val="none" w:color="212121"/>
                <w:lang w:val="it-IT"/>
              </w:rPr>
            </w:pPr>
            <w:r>
              <w:rPr>
                <w:bCs/>
                <w:i w:val="false"/>
                <w:iCs w:val="false"/>
                <w:color w:val="212121"/>
                <w:sz w:val="24"/>
                <w:szCs w:val="24"/>
                <w:u w:val="none" w:color="212121"/>
                <w:lang w:val="it-IT"/>
              </w:rPr>
            </w:r>
          </w:p>
        </w:tc>
      </w:tr>
      <w:tr>
        <w:trPr>
          <w:trHeight w:val="869" w:hRule="atLeast"/>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240" w:after="60"/>
              <w:ind w:hanging="0" w:right="0"/>
              <w:jc w:val="both"/>
              <w:rPr>
                <w:i w:val="false"/>
                <w:i w:val="false"/>
                <w:iCs w:val="false"/>
                <w:sz w:val="24"/>
                <w:szCs w:val="24"/>
                <w:u w:val="double"/>
              </w:rPr>
            </w:pPr>
            <w:r>
              <w:rPr>
                <w:rFonts w:eastAsia="Times New Roman" w:cs="Times New Roman"/>
                <w:b/>
                <w:i w:val="false"/>
                <w:iCs w:val="false"/>
                <w:sz w:val="24"/>
                <w:szCs w:val="24"/>
                <w:u w:val="double"/>
              </w:rPr>
              <w:t>Centro Estivo Adolescenti</w:t>
            </w:r>
          </w:p>
        </w:tc>
        <w:tc>
          <w:tcPr>
            <w:tcW w:w="5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120" w:after="0"/>
              <w:ind w:hanging="0" w:left="357" w:right="0"/>
              <w:jc w:val="both"/>
              <w:rPr>
                <w:i w:val="false"/>
                <w:i w:val="false"/>
                <w:iCs w:val="false"/>
                <w:sz w:val="24"/>
                <w:szCs w:val="24"/>
              </w:rPr>
            </w:pPr>
            <w:r>
              <w:rPr>
                <w:rFonts w:eastAsia="Times New Roman" w:cs="Times New Roman"/>
                <w:i w:val="false"/>
                <w:iCs w:val="false"/>
                <w:sz w:val="24"/>
                <w:szCs w:val="24"/>
              </w:rPr>
              <w:t>per ragazze e ragazzi frequentanti la scuola secondaria di 1°grado (scuola media) nell’anno scolastico 202</w:t>
            </w:r>
            <w:r>
              <w:rPr>
                <w:rFonts w:eastAsia="Times New Roman" w:cs="Times New Roman"/>
                <w:i w:val="false"/>
                <w:iCs w:val="false"/>
                <w:sz w:val="24"/>
                <w:szCs w:val="24"/>
                <w:lang w:eastAsia="ar-SA"/>
              </w:rPr>
              <w:t>3</w:t>
            </w:r>
            <w:r>
              <w:rPr>
                <w:rFonts w:eastAsia="Times New Roman" w:cs="Times New Roman"/>
                <w:i w:val="false"/>
                <w:iCs w:val="false"/>
                <w:sz w:val="24"/>
                <w:szCs w:val="24"/>
              </w:rPr>
              <w:t>/202</w:t>
            </w:r>
            <w:r>
              <w:rPr>
                <w:rFonts w:eastAsia="Times New Roman" w:cs="Times New Roman"/>
                <w:i w:val="false"/>
                <w:iCs w:val="false"/>
                <w:sz w:val="24"/>
                <w:szCs w:val="24"/>
                <w:lang w:eastAsia="ar-SA"/>
              </w:rPr>
              <w:t>4</w:t>
            </w:r>
          </w:p>
        </w:tc>
        <w:tc>
          <w:tcPr>
            <w:tcW w:w="28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tabs>
                <w:tab w:val="clear" w:pos="709"/>
              </w:tabs>
              <w:suppressAutoHyphens w:val="true"/>
              <w:bidi w:val="0"/>
              <w:spacing w:before="120" w:after="0"/>
              <w:ind w:hanging="0" w:left="113" w:right="0"/>
              <w:jc w:val="both"/>
              <w:rPr>
                <w:rFonts w:ascii="Times New Roman" w:hAnsi="Times New Roman" w:cs="Times New Roman"/>
                <w:bCs/>
                <w:i w:val="false"/>
                <w:i w:val="false"/>
                <w:iCs w:val="false"/>
                <w:color w:val="212121"/>
                <w:sz w:val="24"/>
                <w:szCs w:val="24"/>
                <w:u w:val="none" w:color="212121"/>
                <w:lang w:val="it-IT"/>
              </w:rPr>
            </w:pPr>
            <w:r>
              <w:rPr>
                <w:rFonts w:cs="Times New Roman"/>
                <w:bCs/>
                <w:i w:val="false"/>
                <w:iCs w:val="false"/>
                <w:color w:val="212121"/>
                <w:sz w:val="24"/>
                <w:szCs w:val="24"/>
                <w:u w:val="none" w:color="212121"/>
                <w:lang w:val="it-IT"/>
              </w:rPr>
              <w:t>presso la scuola primaria L.da Vinci, in via Caboto n.21</w:t>
            </w:r>
          </w:p>
        </w:tc>
      </w:tr>
    </w:tbl>
    <w:p>
      <w:pPr>
        <w:pStyle w:val="BodyTextIndent"/>
        <w:widowControl w:val="false"/>
        <w:spacing w:before="60" w:after="0"/>
        <w:ind w:hanging="0" w:left="0" w:right="0"/>
        <w:jc w:val="both"/>
        <w:rPr/>
      </w:pPr>
      <w:r>
        <w:rPr>
          <w:rFonts w:eastAsia="Times New Roman" w:cs="Times New Roman"/>
          <w:b w:val="false"/>
          <w:bCs w:val="false"/>
          <w:sz w:val="24"/>
          <w:szCs w:val="24"/>
          <w:u w:val="none"/>
        </w:rPr>
        <w:t>I posti disponibili per ciascun Centro saranno suddivisi in proporzione alle domande pervenute per le rispettive fasce di età.</w:t>
      </w:r>
    </w:p>
    <w:p>
      <w:pPr>
        <w:pStyle w:val="BodyTextIndent"/>
        <w:spacing w:before="60" w:after="0"/>
        <w:ind w:hanging="0" w:left="0" w:right="0"/>
        <w:jc w:val="both"/>
        <w:rPr/>
      </w:pPr>
      <w:r>
        <w:rPr>
          <w:rFonts w:eastAsia="Times New Roman" w:cs="Times New Roman"/>
          <w:sz w:val="24"/>
          <w:szCs w:val="24"/>
          <w:u w:val="single"/>
        </w:rPr>
        <w:t>La frequenza dei Centri Ricreativi Estivi comunali è riservata a bimbi e ragazzi residenti nel territorio del Comune di Cesenatico.</w:t>
      </w:r>
    </w:p>
    <w:p>
      <w:pPr>
        <w:pStyle w:val="BodyTextIndent"/>
        <w:spacing w:before="60" w:after="0"/>
        <w:ind w:hanging="0" w:left="0" w:right="0"/>
        <w:jc w:val="both"/>
        <w:rPr>
          <w:shd w:fill="auto" w:val="clear"/>
        </w:rPr>
      </w:pPr>
      <w:r>
        <w:rPr>
          <w:rFonts w:eastAsia="Times New Roman" w:cs="Times New Roman"/>
          <w:sz w:val="24"/>
          <w:szCs w:val="24"/>
          <w:shd w:fill="auto" w:val="clear"/>
        </w:rPr>
        <w:t xml:space="preserve">I Centri Ricreativi Estivi sono funzionanti dalle ore 8,00 alle ore 17,00 di ogni giorno della settimana anche se festivo, con l’esclusione delle sole domeniche e per un totale di </w:t>
      </w:r>
      <w:r>
        <w:rPr>
          <w:rFonts w:eastAsia="Times New Roman" w:cs="Times New Roman"/>
          <w:sz w:val="24"/>
          <w:szCs w:val="24"/>
          <w:shd w:fill="auto" w:val="clear"/>
        </w:rPr>
        <w:t>54 giornate.</w:t>
      </w:r>
    </w:p>
    <w:p>
      <w:pPr>
        <w:pStyle w:val="BodyTextIndent"/>
        <w:spacing w:before="60" w:after="0"/>
        <w:ind w:hanging="0" w:left="0" w:right="0"/>
        <w:jc w:val="both"/>
        <w:rPr/>
      </w:pPr>
      <w:r>
        <w:rPr>
          <w:rFonts w:eastAsia="Times New Roman" w:cs="Times New Roman"/>
          <w:sz w:val="24"/>
          <w:szCs w:val="24"/>
        </w:rPr>
        <w:t xml:space="preserve">La domanda di iscrizione può essere avanzata per entrambi i mesi, per uno solo di essi, oppure per n. 2 settimane </w:t>
      </w:r>
      <w:r>
        <w:rPr>
          <w:rFonts w:eastAsia="Times New Roman" w:cs="Times New Roman"/>
          <w:sz w:val="24"/>
          <w:szCs w:val="24"/>
          <w:u w:val="single"/>
        </w:rPr>
        <w:t>anche non consecutive, purchè nello stesso mese</w:t>
      </w:r>
      <w:r>
        <w:rPr>
          <w:rFonts w:eastAsia="Times New Roman" w:cs="Times New Roman"/>
          <w:sz w:val="24"/>
          <w:szCs w:val="24"/>
        </w:rPr>
        <w:t>.</w:t>
      </w:r>
    </w:p>
    <w:p>
      <w:pPr>
        <w:pStyle w:val="BodyTextIndent"/>
        <w:spacing w:before="60" w:after="0"/>
        <w:ind w:hanging="0" w:left="0" w:right="0"/>
        <w:jc w:val="both"/>
        <w:rPr/>
      </w:pPr>
      <w:r>
        <w:rPr>
          <w:rFonts w:eastAsia="Times New Roman" w:cs="Times New Roman"/>
          <w:sz w:val="24"/>
          <w:szCs w:val="24"/>
        </w:rPr>
        <w:t xml:space="preserve">Viene evidenziato che la scelta del periodo di frequenza (due mesi, un mese o due settimane nello stesso mese) deve essere inderogabilmente indicata entro il </w:t>
      </w:r>
      <w:r>
        <w:rPr>
          <w:rFonts w:eastAsia="Times New Roman" w:cs="Times New Roman"/>
          <w:b/>
          <w:bCs/>
          <w:sz w:val="24"/>
          <w:szCs w:val="24"/>
          <w:shd w:fill="auto" w:val="clear"/>
          <w:lang w:eastAsia="ar-SA"/>
        </w:rPr>
        <w:t>30/04/2024</w:t>
      </w:r>
      <w:r>
        <w:rPr>
          <w:rFonts w:eastAsia="Times New Roman" w:cs="Times New Roman"/>
          <w:b/>
          <w:sz w:val="24"/>
          <w:szCs w:val="24"/>
          <w:shd w:fill="auto" w:val="clear"/>
        </w:rPr>
        <w:t xml:space="preserve">, </w:t>
      </w:r>
      <w:r>
        <w:rPr>
          <w:rFonts w:eastAsia="Times New Roman" w:cs="Times New Roman"/>
          <w:sz w:val="24"/>
          <w:szCs w:val="24"/>
          <w:u w:val="single"/>
        </w:rPr>
        <w:t>restando inibita la possibilità di chiedere variazioni di frequenza a servizio già avviato.</w:t>
      </w:r>
    </w:p>
    <w:p>
      <w:pPr>
        <w:pStyle w:val="Normal"/>
        <w:spacing w:before="120" w:after="0"/>
        <w:jc w:val="both"/>
        <w:rPr/>
      </w:pPr>
      <w:r>
        <w:rPr>
          <w:rStyle w:val="Hyperlink"/>
          <w:rFonts w:eastAsia="Times New Roman" w:cs="Times New Roman"/>
          <w:b/>
          <w:bCs/>
          <w:color w:val="000000"/>
          <w:spacing w:val="3"/>
          <w:u w:val="none"/>
        </w:rPr>
        <w:t>La presentazione della domanda da parte degli utenti dovrà avvenire esclusivamente on line,</w:t>
      </w:r>
      <w:r>
        <w:rPr>
          <w:rStyle w:val="Hyperlink"/>
          <w:rFonts w:eastAsia="Times New Roman" w:cs="Times New Roman"/>
          <w:b w:val="false"/>
          <w:bCs w:val="false"/>
          <w:color w:val="000000"/>
          <w:spacing w:val="3"/>
          <w:u w:val="none"/>
        </w:rPr>
        <w:t xml:space="preserve"> accedendo tramite credenziali SPID alla piattaforma dedicata disponibile sul sito comunale </w:t>
      </w:r>
      <w:hyperlink r:id="rId2">
        <w:r>
          <w:rPr>
            <w:rFonts w:eastAsia="Times New Roman" w:cs="Times New Roman"/>
            <w:b w:val="false"/>
            <w:bCs w:val="false"/>
            <w:color w:val="000000"/>
            <w:spacing w:val="3"/>
            <w:u w:val="none"/>
          </w:rPr>
          <w:t>www.comune.cesenatico.fc.it</w:t>
        </w:r>
      </w:hyperlink>
      <w:r>
        <w:rPr>
          <w:rStyle w:val="Hyperlink"/>
          <w:rFonts w:eastAsia="Times New Roman" w:cs="Times New Roman"/>
          <w:b w:val="false"/>
          <w:bCs w:val="false"/>
          <w:color w:val="000000"/>
          <w:spacing w:val="3"/>
          <w:u w:val="none"/>
        </w:rPr>
        <w:t xml:space="preserve"> (link notizie oppure link area tematica Scuola e Servizi per l’infanzia).</w:t>
      </w:r>
    </w:p>
    <w:p>
      <w:pPr>
        <w:pStyle w:val="Heading3"/>
        <w:numPr>
          <w:ilvl w:val="0"/>
          <w:numId w:val="1"/>
        </w:numPr>
        <w:ind w:hanging="0" w:left="0" w:right="0"/>
        <w:rPr>
          <w:bCs/>
          <w:i/>
          <w:i/>
          <w:color w:val="212121"/>
          <w:sz w:val="26"/>
          <w:szCs w:val="26"/>
          <w:u w:val="none" w:color="212121"/>
          <w:lang w:val="it-IT"/>
        </w:rPr>
      </w:pPr>
      <w:r>
        <w:rPr>
          <w:bCs/>
          <w:i/>
          <w:color w:val="212121"/>
          <w:sz w:val="26"/>
          <w:szCs w:val="26"/>
          <w:u w:val="none" w:color="212121"/>
          <w:lang w:val="it-IT"/>
        </w:rPr>
      </w:r>
    </w:p>
    <w:p>
      <w:pPr>
        <w:pStyle w:val="Heading3"/>
        <w:numPr>
          <w:ilvl w:val="0"/>
          <w:numId w:val="1"/>
        </w:numPr>
        <w:ind w:hanging="0" w:left="0" w:right="0"/>
        <w:jc w:val="both"/>
        <w:rPr/>
      </w:pPr>
      <w:r>
        <w:rPr>
          <w:rFonts w:eastAsia="Times New Roman" w:cs="Times New Roman" w:ascii="Times New Roman" w:hAnsi="Times New Roman"/>
          <w:b w:val="false"/>
          <w:sz w:val="24"/>
          <w:szCs w:val="24"/>
        </w:rPr>
        <w:t xml:space="preserve">Al termine della compilazione on-line, la domanda dovrà essere inoltrata mediante apposito comando al Comune di Cesenatico, entro e non oltre la </w:t>
      </w:r>
      <w:r>
        <w:rPr>
          <w:rFonts w:eastAsia="Times New Roman" w:cs="Times New Roman" w:ascii="Times New Roman" w:hAnsi="Times New Roman"/>
          <w:b/>
          <w:bCs/>
          <w:sz w:val="24"/>
          <w:szCs w:val="24"/>
        </w:rPr>
        <w:t>scadenza</w:t>
      </w:r>
      <w:r>
        <w:rPr>
          <w:rFonts w:eastAsia="Times New Roman" w:cs="Times New Roman" w:ascii="Times New Roman" w:hAnsi="Times New Roman"/>
          <w:b/>
          <w:bCs/>
          <w:sz w:val="24"/>
          <w:szCs w:val="24"/>
          <w:shd w:fill="auto" w:val="clear"/>
        </w:rPr>
        <w:t xml:space="preserve"> di martedì 30 aprile 2024</w:t>
      </w:r>
    </w:p>
    <w:p>
      <w:pPr>
        <w:pStyle w:val="Normal"/>
        <w:spacing w:before="120" w:after="0"/>
        <w:jc w:val="both"/>
        <w:rPr/>
      </w:pPr>
      <w:r>
        <w:rPr>
          <w:rFonts w:eastAsia="Times New Roman" w:cs="Times New Roman"/>
        </w:rPr>
        <w:t>Gli interessati a fruire del servizio, in caso di necessità di approfondimenti o maggiori informazioni o ausilio nella compilazione della domanda on line, potranno contattare il Servizio Infanzia e Scuola del Comune:</w:t>
      </w:r>
    </w:p>
    <w:p>
      <w:pPr>
        <w:pStyle w:val="Normal"/>
        <w:spacing w:before="120" w:after="0"/>
        <w:jc w:val="both"/>
        <w:rPr/>
      </w:pPr>
      <w:r>
        <w:rPr>
          <w:rFonts w:eastAsia="Times New Roman" w:cs="Times New Roman"/>
        </w:rPr>
        <w:t>- ai numeri di telefono 054779321-273 (dal lunedì al venerdì dalle ore 09.00 alle 13.00, giovedì anche dalle 15.00 alle 17.00)</w:t>
      </w:r>
    </w:p>
    <w:p>
      <w:pPr>
        <w:pStyle w:val="Normal"/>
        <w:spacing w:before="120" w:after="0"/>
        <w:ind w:hanging="0" w:left="0" w:right="0"/>
        <w:jc w:val="both"/>
        <w:rPr/>
      </w:pPr>
      <w:r>
        <w:rPr>
          <w:rFonts w:eastAsia="Times New Roman" w:cs="Times New Roman"/>
        </w:rPr>
        <w:t xml:space="preserve">- all’indirizzo mail: </w:t>
      </w:r>
      <w:hyperlink r:id="rId3">
        <w:r>
          <w:rPr>
            <w:rFonts w:eastAsia="Times New Roman" w:cs="Times New Roman"/>
            <w:color w:val="000000"/>
            <w:u w:val="none"/>
          </w:rPr>
          <w:t>servizioscuola@comune.cesenatico.fc.it</w:t>
        </w:r>
      </w:hyperlink>
    </w:p>
    <w:p>
      <w:pPr>
        <w:pStyle w:val="BodyTextIndent"/>
        <w:spacing w:before="60" w:after="0"/>
        <w:ind w:hanging="0" w:left="0" w:right="0"/>
        <w:jc w:val="both"/>
        <w:rPr/>
      </w:pPr>
      <w:r>
        <w:rPr>
          <w:rFonts w:eastAsia="Times New Roman" w:cs="Times New Roman"/>
          <w:i/>
          <w:iCs/>
          <w:sz w:val="24"/>
          <w:szCs w:val="24"/>
          <w:u w:val="none"/>
        </w:rPr>
        <w:t xml:space="preserve">Verranno accolte con preferenza le domande di iscrizione avanzate per entrambi i mesi, successivamente per iscrizioni mensili, e da ultimo, per due settimane nello stesso mese. </w:t>
      </w:r>
    </w:p>
    <w:p>
      <w:pPr>
        <w:pStyle w:val="BodyTextIndent"/>
        <w:spacing w:before="60" w:after="0"/>
        <w:ind w:hanging="0" w:left="0" w:right="0"/>
        <w:jc w:val="both"/>
        <w:rPr/>
      </w:pPr>
      <w:r>
        <w:rPr>
          <w:rFonts w:eastAsia="Times New Roman" w:cs="Times New Roman"/>
          <w:sz w:val="24"/>
          <w:szCs w:val="24"/>
        </w:rPr>
        <w:t>In caso di domande superiori ai posti disponibili, verrà formulata una graduatoria sulla base dei criteri stabiliti dalla Carta dei servizi del Comune di Cesenatico, che tengono conto in primo luogo della durata della frequenza e solo successivamente della situazione reddituale del nucleo familiare interessato.</w:t>
      </w:r>
    </w:p>
    <w:p>
      <w:pPr>
        <w:pStyle w:val="BodyTextIndent"/>
        <w:spacing w:before="60" w:after="0"/>
        <w:ind w:hanging="0" w:left="0" w:right="0"/>
        <w:jc w:val="both"/>
        <w:rPr/>
      </w:pPr>
      <w:r>
        <w:rPr>
          <w:rFonts w:eastAsia="Times New Roman" w:cs="Times New Roman"/>
          <w:sz w:val="24"/>
          <w:szCs w:val="24"/>
        </w:rPr>
        <w:t>Al riguardo farà fede, salvo l’esito di possibili controlli, la Dichiarazione Sostitutiva Unica - D.S.U. - e attestazione ISE/ISEE rilasciata nell’anno 2024 presentata all’atto della domanda.</w:t>
      </w:r>
    </w:p>
    <w:p>
      <w:pPr>
        <w:pStyle w:val="BodyTextIndent"/>
        <w:spacing w:before="60" w:after="0"/>
        <w:ind w:hanging="0" w:left="0" w:right="0"/>
        <w:jc w:val="both"/>
        <w:rPr/>
      </w:pPr>
      <w:r>
        <w:rPr>
          <w:rFonts w:eastAsia="Times New Roman" w:cs="Times New Roman"/>
          <w:sz w:val="24"/>
          <w:szCs w:val="24"/>
        </w:rPr>
        <w:t>La mancata presentazione di tale attestazione inciderà sulla posizione nell’eventuale graduatoria.</w:t>
      </w:r>
    </w:p>
    <w:p>
      <w:pPr>
        <w:pStyle w:val="BodyTextIndent"/>
        <w:spacing w:before="60" w:after="0"/>
        <w:ind w:hanging="0" w:left="0" w:right="0"/>
        <w:jc w:val="both"/>
        <w:rPr/>
      </w:pPr>
      <w:r>
        <w:rPr>
          <w:rFonts w:eastAsia="Times New Roman" w:cs="Times New Roman"/>
          <w:sz w:val="24"/>
          <w:szCs w:val="24"/>
        </w:rPr>
        <w:t>Di seguito i seguenti contatti di posta elettronica e mail:</w:t>
      </w:r>
    </w:p>
    <w:p>
      <w:pPr>
        <w:pStyle w:val="BodyTextIndent"/>
        <w:spacing w:before="60" w:after="0"/>
        <w:ind w:hanging="0" w:left="0" w:right="0"/>
        <w:jc w:val="both"/>
        <w:rPr/>
      </w:pPr>
      <w:r>
        <w:rPr>
          <w:rFonts w:eastAsia="Times New Roman" w:cs="Times New Roman"/>
          <w:sz w:val="24"/>
          <w:szCs w:val="24"/>
        </w:rPr>
        <w:t xml:space="preserve">● </w:t>
      </w:r>
      <w:r>
        <w:rPr>
          <w:rFonts w:eastAsia="Times New Roman" w:cs="Times New Roman"/>
          <w:sz w:val="24"/>
          <w:szCs w:val="24"/>
        </w:rPr>
        <w:t xml:space="preserve">indirizzo di posta elettronica: </w:t>
      </w:r>
      <w:hyperlink r:id="rId4">
        <w:r>
          <w:rPr>
            <w:rFonts w:eastAsia="Times New Roman" w:cs="Times New Roman"/>
            <w:b w:val="false"/>
            <w:bCs w:val="false"/>
            <w:color w:val="000000"/>
            <w:sz w:val="24"/>
            <w:szCs w:val="24"/>
            <w:u w:val="none"/>
          </w:rPr>
          <w:t>servizioscuola@comune.cesenatico.fc.it</w:t>
        </w:r>
      </w:hyperlink>
    </w:p>
    <w:p>
      <w:pPr>
        <w:pStyle w:val="BodyTextIndent"/>
        <w:spacing w:before="60" w:after="0"/>
        <w:ind w:hanging="0" w:left="0" w:right="0"/>
        <w:jc w:val="both"/>
        <w:rPr/>
      </w:pPr>
      <w:r>
        <w:rPr>
          <w:rFonts w:eastAsia="Times New Roman" w:cs="Times New Roman"/>
          <w:b w:val="false"/>
          <w:bCs w:val="false"/>
          <w:sz w:val="24"/>
          <w:szCs w:val="24"/>
        </w:rPr>
        <w:t xml:space="preserve">● </w:t>
      </w:r>
      <w:r>
        <w:rPr>
          <w:rFonts w:eastAsia="Times New Roman" w:cs="Times New Roman"/>
          <w:b w:val="false"/>
          <w:bCs w:val="false"/>
          <w:sz w:val="24"/>
          <w:szCs w:val="24"/>
        </w:rPr>
        <w:t>indirizzo pec: cesenatico@cert.provincia.fc.it</w:t>
      </w:r>
    </w:p>
    <w:p>
      <w:pPr>
        <w:pStyle w:val="BodyTextIndent"/>
        <w:spacing w:before="60" w:after="0"/>
        <w:ind w:hanging="0" w:left="0" w:right="0"/>
        <w:jc w:val="both"/>
        <w:rPr/>
      </w:pPr>
      <w:r>
        <w:rPr>
          <w:rFonts w:eastAsia="Times New Roman" w:cs="Times New Roman"/>
          <w:sz w:val="24"/>
          <w:szCs w:val="24"/>
        </w:rPr>
        <w:t xml:space="preserve">La retta di frequenza mensile (da rapportare in caso di frequenza di bimestre o di n. 2 settimane nello stesso mese), </w:t>
      </w:r>
      <w:r>
        <w:rPr>
          <w:rFonts w:eastAsia="Times New Roman" w:cs="Times New Roman"/>
          <w:b/>
          <w:bCs/>
          <w:sz w:val="24"/>
          <w:szCs w:val="24"/>
        </w:rPr>
        <w:t xml:space="preserve">da pagare direttamente al gestore del servizio </w:t>
      </w:r>
      <w:r>
        <w:rPr>
          <w:rFonts w:eastAsia="Times New Roman" w:cs="Times New Roman"/>
          <w:b/>
          <w:sz w:val="24"/>
          <w:szCs w:val="24"/>
        </w:rPr>
        <w:t>anticipatamente</w:t>
      </w:r>
      <w:r>
        <w:rPr>
          <w:rFonts w:eastAsia="Times New Roman" w:cs="Times New Roman"/>
          <w:sz w:val="24"/>
          <w:szCs w:val="24"/>
        </w:rPr>
        <w:t xml:space="preserve"> rispetto </w:t>
      </w:r>
      <w:r>
        <w:rPr>
          <w:rFonts w:eastAsia="Times New Roman" w:cs="Times New Roman"/>
          <w:sz w:val="24"/>
          <w:szCs w:val="24"/>
          <w:shd w:fill="auto" w:val="clear"/>
        </w:rPr>
        <w:t xml:space="preserve">all’inserimento è composta dalla somma di una quota fissa di </w:t>
      </w:r>
      <w:r>
        <w:rPr>
          <w:rFonts w:eastAsia="Times New Roman" w:cs="Times New Roman"/>
          <w:b/>
          <w:sz w:val="24"/>
          <w:szCs w:val="24"/>
          <w:shd w:fill="auto" w:val="clear"/>
        </w:rPr>
        <w:t xml:space="preserve">€ 264,34 </w:t>
      </w:r>
      <w:r>
        <w:rPr>
          <w:rFonts w:eastAsia="Times New Roman" w:cs="Times New Roman"/>
          <w:sz w:val="24"/>
          <w:szCs w:val="24"/>
          <w:shd w:fill="auto" w:val="clear"/>
        </w:rPr>
        <w:t>e di una parte variabile (per un importo massimo di</w:t>
      </w:r>
      <w:r>
        <w:rPr>
          <w:rFonts w:eastAsia="Times New Roman" w:cs="Times New Roman"/>
          <w:b/>
          <w:sz w:val="24"/>
          <w:szCs w:val="24"/>
          <w:shd w:fill="auto" w:val="clear"/>
        </w:rPr>
        <w:t xml:space="preserve"> € </w:t>
      </w:r>
      <w:r>
        <w:rPr>
          <w:rFonts w:eastAsia="Times New Roman" w:cs="Times New Roman"/>
          <w:b/>
          <w:color w:val="000000"/>
          <w:sz w:val="24"/>
          <w:szCs w:val="24"/>
          <w:shd w:fill="auto" w:val="clear"/>
          <w:lang w:eastAsia="ar-SA"/>
        </w:rPr>
        <w:t>149,04</w:t>
      </w:r>
      <w:r>
        <w:rPr>
          <w:rFonts w:eastAsia="Times New Roman" w:cs="Times New Roman"/>
          <w:b/>
          <w:sz w:val="24"/>
          <w:szCs w:val="24"/>
          <w:shd w:fill="auto" w:val="clear"/>
        </w:rPr>
        <w:t xml:space="preserve">) </w:t>
      </w:r>
      <w:r>
        <w:rPr>
          <w:rFonts w:eastAsia="Times New Roman" w:cs="Times New Roman"/>
          <w:sz w:val="24"/>
          <w:szCs w:val="24"/>
          <w:shd w:fill="auto" w:val="clear"/>
        </w:rPr>
        <w:t>quantificata in base al valore ISEE del nucleo famigliare di appartenenza e valutata in base ai criteri stabiliti dal “Regolamento comunale per la concessione di agevolazioni di natura economica nei servizi scolastici” approvato con delibera del Consiglio Comunale n. 46 del 14.06.2016:</w:t>
      </w:r>
    </w:p>
    <w:tbl>
      <w:tblPr>
        <w:tblW w:w="8584" w:type="dxa"/>
        <w:jc w:val="left"/>
        <w:tblInd w:w="65" w:type="dxa"/>
        <w:tblLayout w:type="fixed"/>
        <w:tblCellMar>
          <w:top w:w="0" w:type="dxa"/>
          <w:left w:w="70" w:type="dxa"/>
          <w:bottom w:w="0" w:type="dxa"/>
          <w:right w:w="70" w:type="dxa"/>
        </w:tblCellMar>
      </w:tblPr>
      <w:tblGrid>
        <w:gridCol w:w="4606"/>
        <w:gridCol w:w="3977"/>
      </w:tblGrid>
      <w:tr>
        <w:trPr/>
        <w:tc>
          <w:tcPr>
            <w:tcW w:w="46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Fino a </w:t>
            </w:r>
            <w:r>
              <w:rPr>
                <w:rFonts w:eastAsia="Times New Roman" w:cs="Times New Roman"/>
                <w:b/>
                <w:strike w:val="false"/>
                <w:dstrike w:val="false"/>
                <w:lang w:eastAsia="ar-SA"/>
              </w:rPr>
              <w:t>€ 7.161,72</w:t>
            </w:r>
            <w:r>
              <w:rPr>
                <w:rFonts w:eastAsia="Times New Roman" w:cs="Times New Roman"/>
                <w:b/>
              </w:rPr>
              <w:t>(soglia minima)</w:t>
            </w:r>
          </w:p>
        </w:tc>
        <w:tc>
          <w:tcPr>
            <w:tcW w:w="3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Solo € </w:t>
            </w:r>
            <w:r>
              <w:rPr>
                <w:rFonts w:eastAsia="Times New Roman" w:cs="Times New Roman"/>
                <w:b/>
                <w:lang w:eastAsia="ar-SA"/>
              </w:rPr>
              <w:t>264,34</w:t>
            </w:r>
            <w:r>
              <w:rPr>
                <w:rFonts w:eastAsia="Times New Roman" w:cs="Times New Roman"/>
                <w:b/>
              </w:rPr>
              <w:t xml:space="preserve"> di quota fissa</w:t>
            </w:r>
          </w:p>
        </w:tc>
      </w:tr>
      <w:tr>
        <w:trPr>
          <w:trHeight w:val="718" w:hRule="atLeast"/>
        </w:trPr>
        <w:tc>
          <w:tcPr>
            <w:tcW w:w="46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Da € </w:t>
            </w:r>
            <w:r>
              <w:rPr>
                <w:rFonts w:eastAsia="Times New Roman" w:cs="Times New Roman"/>
                <w:b/>
                <w:strike w:val="false"/>
                <w:dstrike w:val="false"/>
                <w:lang w:eastAsia="ar-SA"/>
              </w:rPr>
              <w:t>7.161,73</w:t>
            </w:r>
            <w:r>
              <w:rPr>
                <w:rFonts w:eastAsia="Times New Roman" w:cs="Times New Roman"/>
                <w:b/>
              </w:rPr>
              <w:t xml:space="preserve"> a € </w:t>
            </w:r>
            <w:r>
              <w:rPr>
                <w:rFonts w:eastAsia="Times New Roman" w:cs="Times New Roman"/>
                <w:b/>
                <w:lang w:eastAsia="ar-SA"/>
              </w:rPr>
              <w:t>10.742,62</w:t>
            </w:r>
          </w:p>
        </w:tc>
        <w:tc>
          <w:tcPr>
            <w:tcW w:w="3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rFonts w:eastAsia="Times New Roman" w:cs="Times New Roman"/>
                <w:b/>
                <w:bCs/>
              </w:rPr>
              <w:t xml:space="preserve">Quota fissa di € </w:t>
            </w:r>
            <w:r>
              <w:rPr>
                <w:rFonts w:eastAsia="Times New Roman" w:cs="Times New Roman"/>
                <w:b/>
                <w:bCs/>
                <w:lang w:eastAsia="ar-SA"/>
              </w:rPr>
              <w:t>264,34</w:t>
            </w:r>
            <w:r>
              <w:rPr>
                <w:rFonts w:eastAsia="Times New Roman" w:cs="Times New Roman"/>
                <w:b/>
                <w:bCs/>
              </w:rPr>
              <w:t xml:space="preserve"> + Quota variabile rapportata ai limiti reddituali massimi e minimi considerati, ottenuta applicando la formula descritta di seguito*</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Times New Roman" w:cs="Times New Roman"/>
                <w:b/>
              </w:rPr>
              <w:t xml:space="preserve">Da € </w:t>
            </w:r>
            <w:r>
              <w:rPr>
                <w:rFonts w:eastAsia="Times New Roman" w:cs="Times New Roman"/>
                <w:b/>
                <w:lang w:eastAsia="ar-SA"/>
              </w:rPr>
              <w:t>10.742,63</w:t>
            </w:r>
            <w:r>
              <w:rPr>
                <w:rFonts w:eastAsia="Times New Roman" w:cs="Times New Roman"/>
                <w:b/>
              </w:rPr>
              <w:t xml:space="preserve"> (soglia massima)</w:t>
            </w:r>
          </w:p>
        </w:tc>
        <w:tc>
          <w:tcPr>
            <w:tcW w:w="3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Quota fissa </w:t>
            </w:r>
            <w:r>
              <w:rPr>
                <w:rFonts w:eastAsia="Times New Roman" w:cs="Times New Roman"/>
                <w:b/>
                <w:bCs/>
              </w:rPr>
              <w:t xml:space="preserve">di € </w:t>
            </w:r>
            <w:r>
              <w:rPr>
                <w:rFonts w:eastAsia="Times New Roman" w:cs="Times New Roman"/>
                <w:b/>
                <w:bCs/>
                <w:lang w:eastAsia="ar-SA"/>
              </w:rPr>
              <w:t>264,34</w:t>
            </w:r>
            <w:r>
              <w:rPr>
                <w:rFonts w:eastAsia="Times New Roman" w:cs="Times New Roman"/>
                <w:b/>
                <w:bCs/>
              </w:rPr>
              <w:t xml:space="preserve"> </w:t>
            </w:r>
            <w:r>
              <w:rPr>
                <w:rFonts w:eastAsia="Times New Roman" w:cs="Times New Roman"/>
                <w:b/>
              </w:rPr>
              <w:t xml:space="preserve">+ Quota variabile pari a € 149,04= € </w:t>
            </w:r>
            <w:r>
              <w:rPr>
                <w:rFonts w:eastAsia="Times New Roman" w:cs="Times New Roman"/>
                <w:b/>
                <w:lang w:eastAsia="ar-SA"/>
              </w:rPr>
              <w:t>413,38</w:t>
            </w:r>
          </w:p>
        </w:tc>
      </w:tr>
    </w:tbl>
    <w:p>
      <w:pPr>
        <w:pStyle w:val="Normal"/>
        <w:keepNext w:val="true"/>
        <w:keepLines/>
        <w:widowControl w:val="false"/>
        <w:spacing w:before="60" w:after="0"/>
        <w:jc w:val="both"/>
        <w:rPr/>
      </w:pPr>
      <w:r>
        <w:rPr>
          <w:rFonts w:eastAsia="Arial"/>
          <w:b/>
        </w:rPr>
        <w:t xml:space="preserve"> </w:t>
      </w:r>
    </w:p>
    <w:p>
      <w:pPr>
        <w:pStyle w:val="BodyText"/>
        <w:keepLines/>
        <w:widowControl/>
        <w:suppressAutoHyphens w:val="true"/>
        <w:bidi w:val="0"/>
        <w:spacing w:lineRule="auto" w:line="276" w:before="0" w:after="140"/>
        <w:ind w:hanging="0" w:left="0" w:right="0"/>
        <w:jc w:val="both"/>
        <w:rPr/>
      </w:pPr>
      <w:r>
        <w:rPr>
          <w:szCs w:val="24"/>
        </w:rPr>
        <w:t xml:space="preserve">* Rapporto fra la differenza dell’ISEE presentato rispetto alla soglia minima e la differenza fra soglia massima e soglia minima </w:t>
      </w:r>
      <w:r>
        <w:rPr>
          <w:b/>
          <w:szCs w:val="24"/>
        </w:rPr>
        <w:t>{= 1 – (B7-B3)/(B5-B3)}</w:t>
      </w:r>
      <w:r>
        <w:rPr>
          <w:szCs w:val="24"/>
        </w:rPr>
        <w:t>, dove B7 è l’ISEE presentato, B3 è la soglia minima e B5 è la soglia massima.</w:t>
      </w:r>
    </w:p>
    <w:p>
      <w:pPr>
        <w:pStyle w:val="BodyTextIndent"/>
        <w:spacing w:before="60" w:after="0"/>
        <w:ind w:hanging="0" w:left="0" w:right="0"/>
        <w:jc w:val="both"/>
        <w:rPr/>
      </w:pPr>
      <w:r>
        <w:rPr>
          <w:rFonts w:eastAsia="Times New Roman" w:cs="Times New Roman"/>
          <w:b/>
          <w:bCs/>
          <w:sz w:val="24"/>
          <w:szCs w:val="24"/>
        </w:rPr>
        <w:t xml:space="preserve">La mancata presentazione dell’Attestazione ISE/ISEE comporta il pagamento della tariffa intera massima, </w:t>
      </w:r>
      <w:r>
        <w:rPr>
          <w:rFonts w:eastAsia="Times New Roman" w:cs="Times New Roman"/>
          <w:b/>
          <w:bCs/>
          <w:sz w:val="24"/>
          <w:szCs w:val="24"/>
        </w:rPr>
        <w:t>pari ad € 413,38</w:t>
      </w:r>
      <w:r>
        <w:rPr>
          <w:rFonts w:eastAsia="Times New Roman" w:cs="Times New Roman"/>
          <w:b/>
          <w:bCs/>
          <w:sz w:val="24"/>
          <w:szCs w:val="24"/>
        </w:rPr>
        <w:t>.</w:t>
      </w:r>
    </w:p>
    <w:p>
      <w:pPr>
        <w:pStyle w:val="BodyTextIndent"/>
        <w:spacing w:before="60" w:after="0"/>
        <w:ind w:hanging="0" w:left="0" w:right="0"/>
        <w:jc w:val="both"/>
        <w:rPr/>
      </w:pPr>
      <w:r>
        <w:rPr>
          <w:rFonts w:eastAsia="Times New Roman" w:cs="Times New Roman"/>
          <w:sz w:val="24"/>
          <w:szCs w:val="24"/>
        </w:rPr>
        <w:t>Le tariffe sopra indicate non verranno ridotte e/o rimborsate a fronte di un parziale ed ingiustificato utilizzo del servizio, salvo i casi meglio specificati nella Carta dei Servizi.</w:t>
      </w:r>
    </w:p>
    <w:p>
      <w:pPr>
        <w:pStyle w:val="BodyText"/>
        <w:keepLines/>
        <w:spacing w:before="120" w:after="0"/>
        <w:jc w:val="both"/>
        <w:rPr/>
      </w:pPr>
      <w:r>
        <w:rPr>
          <w:sz w:val="24"/>
          <w:szCs w:val="24"/>
        </w:rPr>
        <w:t xml:space="preserve">E’ inoltre intenzione del Comune organizzare un </w:t>
      </w:r>
      <w:r>
        <w:rPr>
          <w:b/>
          <w:bCs/>
          <w:sz w:val="24"/>
          <w:szCs w:val="24"/>
        </w:rPr>
        <w:t>servizio di trasporto</w:t>
      </w:r>
      <w:r>
        <w:rPr>
          <w:sz w:val="24"/>
          <w:szCs w:val="24"/>
        </w:rPr>
        <w:t xml:space="preserve"> </w:t>
      </w:r>
      <w:r>
        <w:rPr>
          <w:b/>
          <w:bCs/>
          <w:sz w:val="24"/>
          <w:szCs w:val="24"/>
        </w:rPr>
        <w:t xml:space="preserve">da punti fermata al centro estivo e ritorno, </w:t>
      </w:r>
      <w:r>
        <w:rPr>
          <w:b w:val="false"/>
          <w:bCs w:val="false"/>
          <w:sz w:val="24"/>
          <w:szCs w:val="24"/>
        </w:rPr>
        <w:t>in funzione delle domande pervenute.</w:t>
      </w:r>
    </w:p>
    <w:p>
      <w:pPr>
        <w:pStyle w:val="Normal"/>
        <w:keepNext w:val="true"/>
        <w:keepLines/>
        <w:spacing w:before="60" w:after="0"/>
        <w:ind w:hanging="0" w:left="0" w:right="0"/>
        <w:jc w:val="both"/>
        <w:rPr>
          <w:highlight w:val="none"/>
          <w:shd w:fill="auto" w:val="clear"/>
        </w:rPr>
      </w:pPr>
      <w:r>
        <w:rPr>
          <w:rFonts w:eastAsia="Times New Roman" w:cs="Times New Roman"/>
          <w:b/>
          <w:bCs/>
          <w:shd w:fill="auto" w:val="clear"/>
        </w:rPr>
        <w:t xml:space="preserve">Il servizio di trasporto prevede il pagamento al Comune di € </w:t>
      </w:r>
      <w:r>
        <w:rPr>
          <w:rFonts w:eastAsia="Times New Roman" w:cs="Times New Roman"/>
          <w:b/>
          <w:bCs/>
          <w:shd w:fill="auto" w:val="clear"/>
          <w:lang w:eastAsia="ar-SA"/>
        </w:rPr>
        <w:t>32,85</w:t>
      </w:r>
      <w:r>
        <w:rPr>
          <w:rFonts w:eastAsia="Times New Roman" w:cs="Times New Roman"/>
          <w:b/>
          <w:bCs/>
          <w:shd w:fill="auto" w:val="clear"/>
        </w:rPr>
        <w:t xml:space="preserve"> mensili</w:t>
      </w:r>
      <w:r>
        <w:rPr>
          <w:rFonts w:eastAsia="Times New Roman" w:cs="Times New Roman"/>
          <w:shd w:fill="auto" w:val="clear"/>
        </w:rPr>
        <w:t xml:space="preserve"> (€ </w:t>
      </w:r>
      <w:r>
        <w:rPr>
          <w:rFonts w:eastAsia="Times New Roman" w:cs="Times New Roman"/>
          <w:shd w:fill="auto" w:val="clear"/>
          <w:lang w:eastAsia="ar-SA"/>
        </w:rPr>
        <w:t>16,43</w:t>
      </w:r>
      <w:r>
        <w:rPr>
          <w:rFonts w:eastAsia="Times New Roman" w:cs="Times New Roman"/>
          <w:shd w:fill="auto" w:val="clear"/>
        </w:rPr>
        <w:t xml:space="preserve"> per n. 2 settimane nello stesso mese).</w:t>
      </w:r>
    </w:p>
    <w:p>
      <w:pPr>
        <w:pStyle w:val="BodyText"/>
        <w:keepLines/>
        <w:jc w:val="both"/>
        <w:rPr/>
      </w:pPr>
      <w:r>
        <w:rPr>
          <w:sz w:val="24"/>
          <w:szCs w:val="24"/>
        </w:rPr>
        <w:t>Si informa inoltre che il Comune di Cesenatico aderirà al “Progetto per la conciliazione vita-lavoro: sostegno alle famiglie per la frequenza di centri estivi”, che prevede un contributo-rimborso per l’abbattimento delle rette di frequenza.</w:t>
      </w:r>
    </w:p>
    <w:p>
      <w:pPr>
        <w:pStyle w:val="BodyText"/>
        <w:keepLines/>
        <w:spacing w:before="120" w:after="0"/>
        <w:jc w:val="both"/>
        <w:rPr/>
      </w:pPr>
      <w:r>
        <w:rPr>
          <w:sz w:val="24"/>
          <w:szCs w:val="24"/>
        </w:rPr>
        <w:t xml:space="preserve">Per la definizione dei destinatari, dei requisiti per l’accesso al contributo e della relativa procedura e modalità per la presentazione della domanda, si rimanda al bando che verrà pubblicato sul sito del </w:t>
      </w:r>
      <w:r>
        <w:rPr>
          <w:sz w:val="24"/>
          <w:szCs w:val="24"/>
          <w:shd w:fill="auto" w:val="clear"/>
        </w:rPr>
        <w:t xml:space="preserve">Comune di Cesenatico a partire, indicativamente, da lunedì </w:t>
      </w:r>
      <w:r>
        <w:rPr>
          <w:sz w:val="24"/>
          <w:szCs w:val="24"/>
          <w:shd w:fill="auto" w:val="clear"/>
        </w:rPr>
        <w:t>6</w:t>
      </w:r>
      <w:r>
        <w:rPr>
          <w:sz w:val="24"/>
          <w:szCs w:val="24"/>
          <w:shd w:fill="auto" w:val="clear"/>
        </w:rPr>
        <w:t xml:space="preserve"> maggio 202</w:t>
      </w:r>
      <w:r>
        <w:rPr>
          <w:sz w:val="24"/>
          <w:szCs w:val="24"/>
          <w:shd w:fill="auto" w:val="clear"/>
        </w:rPr>
        <w:t>4</w:t>
      </w:r>
      <w:r>
        <w:rPr>
          <w:sz w:val="24"/>
          <w:szCs w:val="24"/>
          <w:shd w:fill="auto" w:val="clear"/>
        </w:rPr>
        <w:t>.</w:t>
      </w:r>
    </w:p>
    <w:p>
      <w:pPr>
        <w:pStyle w:val="BodyTextIndent"/>
        <w:spacing w:before="60" w:after="0"/>
        <w:ind w:hanging="0" w:left="0" w:right="0"/>
        <w:jc w:val="both"/>
        <w:rPr/>
      </w:pPr>
      <w:r>
        <w:rPr>
          <w:rFonts w:eastAsia="Times New Roman" w:cs="Times New Roman"/>
          <w:sz w:val="24"/>
          <w:szCs w:val="24"/>
          <w:u w:val="single"/>
        </w:rPr>
        <w:t>Eventuale richiesta di agevolazione per il pagamento della retta può essere avanzata esclusivamente da parte di nuclei familiari in carico ai servizi sociali o per bimbi disabili e dovrà essere presentata nell’apposita sezione della domanda on line di iscrizione al servizio.</w:t>
      </w:r>
    </w:p>
    <w:p>
      <w:pPr>
        <w:pStyle w:val="BodyTextIndent"/>
        <w:spacing w:before="60" w:after="0"/>
        <w:ind w:hanging="0" w:left="0" w:right="0"/>
        <w:jc w:val="both"/>
        <w:rPr/>
      </w:pPr>
      <w:r>
        <w:rPr>
          <w:rFonts w:eastAsia="Times New Roman" w:cs="Times New Roman"/>
          <w:sz w:val="24"/>
          <w:szCs w:val="24"/>
        </w:rPr>
        <w:t>Tale richiesta di agevolazione, così come la presentazione di attestazione ISEE uguale o inferiore alla soglia massima di accesso ai benefici economici in campo scolastico – che ammonta per l’anno 202</w:t>
      </w:r>
      <w:r>
        <w:rPr>
          <w:rFonts w:eastAsia="Times New Roman" w:cs="Times New Roman"/>
          <w:sz w:val="24"/>
          <w:szCs w:val="24"/>
          <w:lang w:eastAsia="ar-SA"/>
        </w:rPr>
        <w:t>4</w:t>
      </w:r>
      <w:r>
        <w:rPr>
          <w:rFonts w:eastAsia="Times New Roman" w:cs="Times New Roman"/>
          <w:sz w:val="24"/>
          <w:szCs w:val="24"/>
        </w:rPr>
        <w:t xml:space="preserve"> a </w:t>
      </w:r>
      <w:r>
        <w:rPr>
          <w:rFonts w:eastAsia="Times New Roman" w:cs="Times New Roman"/>
          <w:b/>
          <w:bCs/>
          <w:sz w:val="24"/>
          <w:szCs w:val="24"/>
          <w:shd w:fill="auto" w:val="clear"/>
        </w:rPr>
        <w:t xml:space="preserve">€ </w:t>
      </w:r>
      <w:r>
        <w:rPr>
          <w:rFonts w:eastAsia="Times New Roman" w:cs="Times New Roman"/>
          <w:b/>
          <w:bCs/>
          <w:sz w:val="24"/>
          <w:szCs w:val="24"/>
          <w:shd w:fill="auto" w:val="clear"/>
          <w:lang w:eastAsia="ar-SA"/>
        </w:rPr>
        <w:t>10.742,63</w:t>
      </w:r>
      <w:r>
        <w:rPr>
          <w:rFonts w:eastAsia="Times New Roman" w:cs="Times New Roman"/>
          <w:sz w:val="24"/>
          <w:szCs w:val="24"/>
          <w:shd w:fill="auto" w:val="clear"/>
        </w:rPr>
        <w:t xml:space="preserve"> - </w:t>
      </w:r>
      <w:r>
        <w:rPr>
          <w:rFonts w:eastAsia="Times New Roman" w:cs="Times New Roman"/>
          <w:sz w:val="24"/>
          <w:szCs w:val="24"/>
        </w:rPr>
        <w:t>saranno oggetto dei controlli e verifiche previste dal vigente Regolamento comunale per le agevolazioni economiche in campo scolastico, condotti anche con l’ausilio della Guardia di Finanza in virtù del Protocollo d’intesa approvato con deliberazione di Giunta Comunale n. 413 del 10/11/2011.</w:t>
      </w:r>
    </w:p>
    <w:p>
      <w:pPr>
        <w:pStyle w:val="BodyTextIndent"/>
        <w:spacing w:before="60" w:after="0"/>
        <w:ind w:hanging="0" w:left="0" w:right="0"/>
        <w:jc w:val="both"/>
        <w:rPr/>
      </w:pPr>
      <w:r>
        <w:rPr>
          <w:rFonts w:eastAsia="Times New Roman" w:cs="Times New Roman"/>
          <w:sz w:val="24"/>
          <w:szCs w:val="24"/>
        </w:rPr>
        <w:t>Si precisa che i benefici economici eventualmente assegnati dalla Regione con il Progetto per la conciliazione vita-lavoro precedono le agevolazioni economiche comunali e, nel caso di cumulo, queste ultime saranno riconosciute fino al limite della spesa sostenuta per la retta.</w:t>
      </w:r>
    </w:p>
    <w:p>
      <w:pPr>
        <w:pStyle w:val="BodyTextIndent"/>
        <w:spacing w:before="60" w:after="0"/>
        <w:ind w:hanging="0" w:left="0" w:right="0"/>
        <w:jc w:val="both"/>
        <w:rPr>
          <w:rFonts w:eastAsia="Times New Roman" w:cs="Times New Roman"/>
          <w:b/>
          <w:sz w:val="24"/>
          <w:szCs w:val="24"/>
          <w:shd w:fill="FFFF00" w:val="clear"/>
        </w:rPr>
      </w:pPr>
      <w:r>
        <w:rPr>
          <w:rFonts w:eastAsia="Times New Roman" w:cs="Times New Roman"/>
          <w:b/>
          <w:sz w:val="24"/>
          <w:szCs w:val="24"/>
          <w:shd w:fill="FFFF00" w:val="clear"/>
        </w:rPr>
      </w:r>
    </w:p>
    <w:p>
      <w:pPr>
        <w:pStyle w:val="BodyTextIndent"/>
        <w:spacing w:before="60" w:after="0"/>
        <w:ind w:hanging="0" w:left="0" w:right="0"/>
        <w:jc w:val="both"/>
        <w:rPr/>
      </w:pPr>
      <w:r>
        <w:rPr>
          <w:rFonts w:eastAsia="Times New Roman" w:cs="Times New Roman"/>
          <w:sz w:val="24"/>
          <w:szCs w:val="24"/>
        </w:rPr>
        <w:t xml:space="preserve">Cesenatico, </w:t>
      </w:r>
      <w:r>
        <w:rPr>
          <w:rFonts w:eastAsia="Times New Roman" w:cs="Times New Roman"/>
          <w:sz w:val="24"/>
          <w:szCs w:val="24"/>
          <w:shd w:fill="auto" w:val="clear"/>
        </w:rPr>
        <w:t xml:space="preserve">2 Aprile </w:t>
      </w:r>
      <w:r>
        <w:rPr>
          <w:rFonts w:eastAsia="Times New Roman" w:cs="Times New Roman"/>
          <w:sz w:val="24"/>
          <w:szCs w:val="24"/>
          <w:shd w:fill="auto" w:val="clear"/>
        </w:rPr>
        <w:t>2024</w:t>
      </w:r>
      <w:r>
        <w:rPr>
          <w:rFonts w:eastAsia="Times New Roman" w:cs="Times New Roman"/>
          <w:sz w:val="24"/>
          <w:szCs w:val="24"/>
          <w:shd w:fill="auto" w:val="clear"/>
        </w:rPr>
        <w:tab/>
      </w:r>
      <w:r>
        <w:rPr>
          <w:rFonts w:eastAsia="Times New Roman" w:cs="Times New Roman"/>
          <w:sz w:val="24"/>
          <w:szCs w:val="24"/>
        </w:rPr>
        <w:tab/>
        <w:tab/>
        <w:tab/>
        <w:tab/>
      </w:r>
    </w:p>
    <w:p>
      <w:pPr>
        <w:pStyle w:val="BodyTextIndent"/>
        <w:spacing w:before="60" w:after="0"/>
        <w:ind w:hanging="0" w:right="0"/>
        <w:jc w:val="both"/>
        <w:rPr/>
      </w:pPr>
      <w:r>
        <w:rPr>
          <w:rFonts w:eastAsia="Times New Roman" w:cs="Times New Roman"/>
          <w:b/>
          <w:bCs/>
          <w:sz w:val="24"/>
          <w:szCs w:val="24"/>
        </w:rPr>
        <w:tab/>
        <w:tab/>
        <w:tab/>
        <w:tab/>
        <w:tab/>
        <w:tab/>
        <w:tab/>
        <w:tab/>
        <w:t xml:space="preserve">      Il Dirigente del Settore</w:t>
      </w:r>
    </w:p>
    <w:p>
      <w:pPr>
        <w:pStyle w:val="Heading1"/>
        <w:keepLines/>
        <w:numPr>
          <w:ilvl w:val="0"/>
          <w:numId w:val="1"/>
        </w:numPr>
        <w:spacing w:before="0" w:after="0"/>
        <w:ind w:firstLine="709" w:left="5664" w:right="0"/>
        <w:jc w:val="both"/>
        <w:rPr/>
      </w:pPr>
      <w:r>
        <w:rPr>
          <w:rFonts w:eastAsia="Times New Roman" w:cs="Times New Roman" w:ascii="Times New Roman" w:hAnsi="Times New Roman"/>
          <w:b/>
          <w:bCs/>
          <w:sz w:val="24"/>
          <w:szCs w:val="24"/>
        </w:rPr>
        <w:t>Dott. Silvio Mini</w:t>
      </w:r>
    </w:p>
    <w:p>
      <w:pPr>
        <w:pStyle w:val="Heading1"/>
        <w:keepLines/>
        <w:numPr>
          <w:ilvl w:val="0"/>
          <w:numId w:val="1"/>
        </w:numPr>
        <w:spacing w:before="0" w:after="0"/>
        <w:ind w:firstLine="709" w:left="5664" w:right="0"/>
        <w:jc w:val="both"/>
        <w:rPr>
          <w:rFonts w:eastAsia="Times New Roman" w:cs="Times New Roman"/>
          <w:sz w:val="24"/>
          <w:szCs w:val="24"/>
        </w:rPr>
      </w:pPr>
      <w:r>
        <w:rPr>
          <w:rFonts w:eastAsia="Times New Roman" w:cs="Times New Roman"/>
          <w:sz w:val="24"/>
          <w:szCs w:val="24"/>
        </w:rPr>
      </w:r>
    </w:p>
    <w:p>
      <w:pPr>
        <w:pStyle w:val="Heading1"/>
        <w:keepLines/>
        <w:numPr>
          <w:ilvl w:val="0"/>
          <w:numId w:val="1"/>
        </w:numPr>
        <w:spacing w:before="0" w:after="0"/>
        <w:ind w:firstLine="709" w:left="5664" w:right="0"/>
        <w:rPr>
          <w:rFonts w:ascii="Times New Roman" w:hAnsi="Times New Roman"/>
          <w:b/>
          <w:bCs/>
        </w:rPr>
      </w:pPr>
      <w:r>
        <w:rPr>
          <w:rFonts w:ascii="Times New Roman" w:hAnsi="Times New Roman"/>
          <w:b/>
          <w:bCs/>
        </w:rPr>
      </w:r>
    </w:p>
    <w:p>
      <w:pPr>
        <w:pStyle w:val="Normal"/>
        <w:spacing w:lineRule="auto" w:line="360"/>
        <w:jc w:val="both"/>
        <w:rPr>
          <w:bCs/>
          <w:i/>
          <w:i/>
          <w:color w:val="212121"/>
          <w:sz w:val="26"/>
          <w:szCs w:val="26"/>
          <w:u w:val="none" w:color="212121"/>
          <w:lang w:val="it-IT"/>
        </w:rPr>
      </w:pPr>
      <w:r>
        <w:rPr>
          <w:bCs/>
          <w:i/>
          <w:color w:val="212121"/>
          <w:sz w:val="26"/>
          <w:szCs w:val="26"/>
          <w:u w:val="none" w:color="212121"/>
          <w:lang w:val="it-IT"/>
        </w:rPr>
      </w:r>
    </w:p>
    <w:sectPr>
      <w:headerReference w:type="even" r:id="rId5"/>
      <w:headerReference w:type="default" r:id="rId6"/>
      <w:headerReference w:type="first" r:id="rId7"/>
      <w:type w:val="nextPage"/>
      <w:pgSz w:w="11906" w:h="16838"/>
      <w:pgMar w:left="1134" w:right="1134" w:gutter="0" w:header="708" w:top="1417" w:footer="0" w:bottom="70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Arial">
    <w:charset w:val="00"/>
    <w:family w:val="roman"/>
    <w:pitch w:val="variable"/>
  </w:font>
  <w:font w:name="Courier New">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4">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0547/79321/329/318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4">
          <wp:simplePos x="0" y="0"/>
          <wp:positionH relativeFrom="column">
            <wp:posOffset>-560070</wp:posOffset>
          </wp:positionH>
          <wp:positionV relativeFrom="paragraph">
            <wp:posOffset>5715</wp:posOffset>
          </wp:positionV>
          <wp:extent cx="887730" cy="887730"/>
          <wp:effectExtent l="0" t="0" r="0" b="0"/>
          <wp:wrapSquare wrapText="bothSides"/>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0547/79321/329/318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Titolo"/>
    <w:qFormat/>
    <w:pPr/>
    <w:rPr/>
  </w:style>
  <w:style w:type="paragraph" w:styleId="Heading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Heading3">
    <w:name w:val="Heading 3"/>
    <w:basedOn w:val="Titolo"/>
    <w:qFormat/>
    <w:pPr/>
    <w:rPr/>
  </w:style>
  <w:style w:type="paragraph" w:styleId="Heading4">
    <w:name w:val="Heading 4"/>
    <w:basedOn w:val="Titolo"/>
    <w:qFormat/>
    <w:pPr/>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customStyle="1">
    <w:name w:val="Strong"/>
    <w:qFormat/>
    <w:rsid w:val="005210b9"/>
    <w:rPr>
      <w:b/>
      <w:bCs/>
    </w:rPr>
  </w:style>
  <w:style w:type="character" w:styleId="Titolo2Carattere" w:customStyle="1">
    <w:name w:val="Titolo 2 Carattere"/>
    <w:basedOn w:val="DefaultParagraphFont"/>
    <w:uiPriority w:val="9"/>
    <w:qFormat/>
    <w:rsid w:val="00e67570"/>
    <w:rPr>
      <w:rFonts w:eastAsia="Times New Roman"/>
      <w:b/>
      <w:bCs/>
      <w:sz w:val="36"/>
      <w:szCs w:val="36"/>
    </w:rPr>
  </w:style>
  <w:style w:type="character" w:styleId="Nessuno" w:customStyle="1">
    <w:name w:val="Nessuno"/>
    <w:qFormat/>
    <w:rsid w:val="00950a88"/>
    <w:rPr/>
  </w:style>
  <w:style w:type="character" w:styleId="Emphasis" w:customStyle="1">
    <w:name w:val="Emphasis"/>
    <w:qFormat/>
    <w:rsid w:val="005210b9"/>
    <w:rPr>
      <w:i/>
      <w:iCs/>
    </w:rPr>
  </w:style>
  <w:style w:type="character" w:styleId="PidipaginaCarattere">
    <w:name w:val="Piè di pagina Carattere"/>
    <w:qFormat/>
    <w:rPr>
      <w:rFonts w:ascii="Arial" w:hAnsi="Arial" w:eastAsia="Arial"/>
      <w:sz w:val="22"/>
    </w:rPr>
  </w:style>
  <w:style w:type="character" w:styleId="IntestazioneCarattere">
    <w:name w:val="Intestazione Carattere"/>
    <w:qFormat/>
    <w:rPr>
      <w:rFonts w:ascii="Arial" w:hAnsi="Arial" w:eastAsia="Arial"/>
      <w:sz w:val="22"/>
    </w:rPr>
  </w:style>
  <w:style w:type="character" w:styleId="Corpodeltesto3Carattere">
    <w:name w:val="Corpo del testo 3 Carattere"/>
    <w:qFormat/>
    <w:rPr>
      <w:rFonts w:ascii="Arial" w:hAnsi="Arial" w:eastAsia="Arial"/>
      <w:sz w:val="16"/>
      <w:szCs w:val="16"/>
    </w:rPr>
  </w:style>
  <w:style w:type="character" w:styleId="Carpredefinitoparagrafo">
    <w:name w:val="Car. predefinito paragrafo"/>
    <w:qFormat/>
    <w:rPr/>
  </w:style>
  <w:style w:type="character" w:styleId="WW8Num5z1">
    <w:name w:val="WW8Num5z1"/>
    <w:qFormat/>
    <w:rPr>
      <w:rFonts w:ascii="Courier New" w:hAnsi="Courier New" w:eastAsia="Courier New"/>
    </w:rPr>
  </w:style>
  <w:style w:type="character" w:styleId="WW8Num4z0">
    <w:name w:val="WW8Num4z0"/>
    <w:qFormat/>
    <w:rPr/>
  </w:style>
  <w:style w:type="character" w:styleId="WW8Num3z1">
    <w:name w:val="WW8Num3z1"/>
    <w:qFormat/>
    <w:rPr>
      <w:rFonts w:ascii="Courier New" w:hAnsi="Courier New" w:eastAsia="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Testofumetto">
    <w:name w:val="Testo fumetto"/>
    <w:basedOn w:val="Normal"/>
    <w:qFormat/>
    <w:pPr/>
    <w:rPr>
      <w:rFonts w:ascii="Tahoma" w:hAnsi="Tahoma" w:eastAsia="Tahoma"/>
      <w:sz w:val="16"/>
      <w:szCs w:val="16"/>
      <w:lang w:eastAsia="ar-SA"/>
    </w:rPr>
  </w:style>
  <w:style w:type="paragraph" w:styleId="Corpodeltesto3">
    <w:name w:val="Corpo del testo 3"/>
    <w:basedOn w:val="Normal"/>
    <w:qFormat/>
    <w:pPr>
      <w:spacing w:before="0" w:after="120"/>
    </w:pPr>
    <w:rPr>
      <w:sz w:val="16"/>
    </w:rPr>
  </w:style>
  <w:style w:type="paragraph" w:styleId="Corpodeltesto2">
    <w:name w:val="Corpo del testo 2"/>
    <w:basedOn w:val="Normal"/>
    <w:qFormat/>
    <w:pPr>
      <w:jc w:val="both"/>
    </w:pPr>
    <w:rPr>
      <w:rFonts w:ascii="Times New Roman" w:hAnsi="Times New Roman" w:eastAsia="Times New Roman"/>
      <w:b/>
      <w:sz w:val="20"/>
      <w:lang w:eastAsia="ar-SA"/>
    </w:rPr>
  </w:style>
  <w:style w:type="paragraph" w:styleId="Rientrocorpodeltesto2">
    <w:name w:val="Rientro corpo del testo 2"/>
    <w:basedOn w:val="Normal"/>
    <w:qFormat/>
    <w:pPr>
      <w:ind w:firstLine="708"/>
      <w:jc w:val="both"/>
    </w:pPr>
    <w:rPr>
      <w:rFonts w:ascii="Times New Roman" w:hAnsi="Times New Roman" w:eastAsia="Times New Roman"/>
      <w:sz w:val="20"/>
      <w:lang w:eastAsia="ar-SA"/>
    </w:rPr>
  </w:style>
  <w:style w:type="paragraph" w:styleId="BodyTextIndent">
    <w:name w:val="Body Text Indent"/>
    <w:basedOn w:val="BodyTex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yperlink" Target="mailto:servizioscuola@comune.cesenatico.fc.it" TargetMode="External"/><Relationship Id="rId4" Type="http://schemas.openxmlformats.org/officeDocument/2006/relationships/hyperlink" Target="mailto:servizioscuola@comune.cesenatico.fc.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488</TotalTime>
  <Application>LibreOffice/24.2.0.3$Windows_X86_64 LibreOffice_project/da48488a73ddd66ea24cf16bbc4f7b9c08e9bea1</Application>
  <AppVersion>15.0000</AppVersion>
  <Pages>3</Pages>
  <Words>1099</Words>
  <Characters>6352</Characters>
  <CharactersWithSpaces>7623</CharactersWithSpaces>
  <Paragraphs>61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2024-03-13T15:23:12Z</cp:lastPrinted>
  <dcterms:modified xsi:type="dcterms:W3CDTF">2024-03-13T15:23:07Z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