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notes.xml" ContentType="application/vnd.openxmlformats-officedocument.wordprocessingml.foot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
        <w:pBdr>
          <w:bottom w:val="single" w:sz="12" w:space="1" w:color="000000"/>
        </w:pBdr>
        <w:spacing w:before="140" w:after="120"/>
        <w:jc w:val="center"/>
        <w:rPr>
          <w:rFonts w:ascii="Times New Roman" w:hAnsi="Times New Roman" w:cs="Times New Roman"/>
          <w:sz w:val="24"/>
          <w:szCs w:val="24"/>
        </w:rPr>
      </w:pPr>
      <w:r>
        <w:rPr>
          <w:rFonts w:cs="Times New Roman" w:ascii="Times New Roman" w:hAnsi="Times New Roman"/>
          <w:sz w:val="24"/>
          <w:szCs w:val="24"/>
        </w:rPr>
      </w:r>
    </w:p>
    <w:p>
      <w:pPr>
        <w:pStyle w:val="Normal"/>
        <w:keepNext w:val="true"/>
        <w:keepLines/>
        <w:spacing w:before="120" w:after="0"/>
        <w:jc w:val="center"/>
        <w:rPr>
          <w:rFonts w:eastAsia="Batang;바탕"/>
          <w:b/>
          <w:sz w:val="24"/>
          <w:szCs w:val="24"/>
        </w:rPr>
      </w:pPr>
      <w:r>
        <w:rPr>
          <w:rFonts w:eastAsia="Batang;바탕"/>
          <w:b/>
          <w:sz w:val="24"/>
          <w:szCs w:val="24"/>
        </w:rPr>
        <w:t>CARTA DEI SERVIZI</w:t>
      </w:r>
    </w:p>
    <w:p>
      <w:pPr>
        <w:pStyle w:val="Normal"/>
        <w:keepNext w:val="true"/>
        <w:keepLines/>
        <w:pBdr>
          <w:bottom w:val="single" w:sz="12" w:space="1" w:color="000000"/>
        </w:pBdr>
        <w:spacing w:before="240" w:after="0"/>
        <w:jc w:val="center"/>
        <w:rPr>
          <w:rFonts w:eastAsia="Batang;바탕"/>
          <w:b/>
          <w:sz w:val="24"/>
          <w:szCs w:val="24"/>
        </w:rPr>
      </w:pPr>
      <w:r>
        <w:rPr>
          <w:rFonts w:eastAsia="Batang;바탕"/>
          <w:b/>
          <w:sz w:val="24"/>
          <w:szCs w:val="24"/>
        </w:rPr>
        <w:t>DEI CENTRI RICREATIVI ESTIVI COMUNALI – CRE</w:t>
      </w:r>
    </w:p>
    <w:p>
      <w:pPr>
        <w:pStyle w:val="Normal"/>
        <w:pBdr>
          <w:bottom w:val="single" w:sz="12" w:space="1" w:color="000000"/>
        </w:pBdr>
        <w:spacing w:before="240" w:after="0"/>
        <w:jc w:val="center"/>
        <w:rPr>
          <w:rFonts w:eastAsia="Batang;바탕"/>
          <w:b/>
          <w:sz w:val="24"/>
          <w:szCs w:val="24"/>
        </w:rPr>
      </w:pPr>
      <w:r>
        <w:rPr>
          <w:rFonts w:eastAsia="Batang;바탕"/>
          <w:b/>
          <w:sz w:val="24"/>
          <w:szCs w:val="24"/>
        </w:rPr>
        <w:t>ISCRIZIONE E INFORMAZIONI GENERALI</w:t>
      </w:r>
    </w:p>
    <w:p>
      <w:pPr>
        <w:pStyle w:val="Normal"/>
        <w:keepNext w:val="true"/>
        <w:keepLines/>
        <w:pBdr>
          <w:bottom w:val="single" w:sz="12" w:space="1" w:color="000000"/>
        </w:pBdr>
        <w:spacing w:before="120" w:after="120"/>
        <w:jc w:val="center"/>
        <w:rPr/>
      </w:pPr>
      <w:r>
        <w:rPr>
          <w:rFonts w:eastAsia="Batang;바탕"/>
          <w:b/>
          <w:sz w:val="24"/>
          <w:szCs w:val="24"/>
        </w:rPr>
        <w:t>ESTATE 202</w:t>
      </w:r>
      <w:r>
        <w:rPr>
          <w:rFonts w:eastAsia="Batang;바탕" w:cs="Times New Roman"/>
          <w:b/>
          <w:color w:val="auto"/>
          <w:sz w:val="24"/>
          <w:szCs w:val="24"/>
          <w:lang w:val="it-IT" w:eastAsia="zh-CN" w:bidi="ar-SA"/>
        </w:rPr>
        <w:t>4</w:t>
      </w:r>
    </w:p>
    <w:p>
      <w:pPr>
        <w:pStyle w:val="Normal"/>
        <w:spacing w:lineRule="auto" w:line="276" w:before="240" w:after="120"/>
        <w:ind w:hanging="0" w:left="0" w:right="0"/>
        <w:jc w:val="both"/>
        <w:rPr>
          <w:rFonts w:eastAsia="Batang;바탕"/>
          <w:b/>
          <w:sz w:val="24"/>
          <w:szCs w:val="24"/>
          <w:u w:val="double"/>
        </w:rPr>
      </w:pPr>
      <w:r>
        <w:rPr>
          <w:rFonts w:eastAsia="Batang;바탕"/>
          <w:b/>
          <w:sz w:val="24"/>
          <w:szCs w:val="24"/>
          <w:u w:val="double"/>
        </w:rPr>
        <w:t>Art. 1 Caratteristiche dei Centri Ricreativi Estivi (CRE)</w:t>
      </w:r>
    </w:p>
    <w:p>
      <w:pPr>
        <w:pStyle w:val="Normal"/>
        <w:keepNext w:val="true"/>
        <w:keepLines/>
        <w:spacing w:lineRule="auto" w:line="276"/>
        <w:jc w:val="both"/>
        <w:rPr/>
      </w:pPr>
      <w:r>
        <w:rPr>
          <w:rFonts w:eastAsia="Batang;바탕"/>
          <w:sz w:val="24"/>
          <w:szCs w:val="24"/>
        </w:rPr>
        <w:t>I Centri Ricreativi Estivi (CRE) del Comune di Cesenatico si articolano in servizi per bambini</w:t>
      </w:r>
      <w:r>
        <w:rPr>
          <w:rFonts w:eastAsia="Batang;바탕"/>
          <w:b/>
          <w:sz w:val="24"/>
          <w:szCs w:val="24"/>
        </w:rPr>
        <w:t xml:space="preserve"> </w:t>
      </w:r>
      <w:r>
        <w:rPr>
          <w:rFonts w:eastAsia="Batang;바탕"/>
          <w:sz w:val="24"/>
          <w:szCs w:val="24"/>
        </w:rPr>
        <w:t xml:space="preserve">frequentanti </w:t>
      </w:r>
      <w:r>
        <w:rPr>
          <w:rFonts w:eastAsia="Batang;바탕"/>
          <w:sz w:val="24"/>
          <w:szCs w:val="24"/>
          <w:shd w:fill="auto" w:val="clear"/>
        </w:rPr>
        <w:t>o che frequenteranno nell’anno scolastico 202</w:t>
      </w:r>
      <w:r>
        <w:rPr>
          <w:rFonts w:eastAsia="Batang;바탕" w:cs="Times New Roman"/>
          <w:color w:val="000000"/>
          <w:sz w:val="24"/>
          <w:szCs w:val="24"/>
          <w:shd w:fill="auto" w:val="clear"/>
          <w:lang w:val="it-IT" w:eastAsia="zh-CN" w:bidi="ar-SA"/>
        </w:rPr>
        <w:t>4</w:t>
      </w:r>
      <w:r>
        <w:rPr>
          <w:rFonts w:eastAsia="Batang;바탕"/>
          <w:sz w:val="24"/>
          <w:szCs w:val="24"/>
          <w:shd w:fill="auto" w:val="clear"/>
        </w:rPr>
        <w:t>-2025 la scuola dell’infanzia (materna), la scuola primaria (elementare) e secondaria di 1° grado (scuola media) e, in ogni caso, a partire dai 3 anni compiuti ai 14 anni.</w:t>
      </w:r>
    </w:p>
    <w:p>
      <w:pPr>
        <w:pStyle w:val="Normal"/>
        <w:spacing w:lineRule="auto" w:line="276"/>
        <w:jc w:val="both"/>
        <w:rPr/>
      </w:pPr>
      <w:r>
        <w:rPr>
          <w:rFonts w:eastAsia="Batang;바탕"/>
          <w:sz w:val="24"/>
          <w:szCs w:val="24"/>
        </w:rPr>
        <w:t>Sono aperti, salvo cause di forza maggiore, da</w:t>
      </w:r>
      <w:r>
        <w:rPr>
          <w:rFonts w:eastAsia="Batang;바탕" w:cs="Times New Roman"/>
          <w:b/>
          <w:bCs/>
          <w:color w:val="000000"/>
          <w:sz w:val="24"/>
          <w:szCs w:val="24"/>
          <w:shd w:fill="auto" w:val="clear"/>
          <w:lang w:val="it-IT" w:eastAsia="zh-CN" w:bidi="ar-SA"/>
        </w:rPr>
        <w:t xml:space="preserve"> lunedì 1 </w:t>
      </w:r>
      <w:r>
        <w:rPr>
          <w:rFonts w:eastAsia="Batang;바탕"/>
          <w:b/>
          <w:bCs/>
          <w:sz w:val="24"/>
          <w:szCs w:val="24"/>
          <w:shd w:fill="auto" w:val="clear"/>
        </w:rPr>
        <w:t xml:space="preserve">luglio </w:t>
      </w:r>
      <w:r>
        <w:rPr>
          <w:rFonts w:eastAsia="Batang;바탕"/>
          <w:bCs/>
          <w:sz w:val="24"/>
          <w:szCs w:val="24"/>
        </w:rPr>
        <w:t>a</w:t>
      </w:r>
      <w:r>
        <w:rPr>
          <w:rFonts w:eastAsia="Batang;바탕"/>
          <w:b/>
          <w:bCs/>
          <w:sz w:val="24"/>
          <w:szCs w:val="24"/>
        </w:rPr>
        <w:t xml:space="preserve"> </w:t>
      </w:r>
      <w:r>
        <w:rPr>
          <w:rFonts w:eastAsia="Batang;바탕" w:cs="Times New Roman"/>
          <w:b/>
          <w:bCs/>
          <w:color w:val="auto"/>
          <w:sz w:val="24"/>
          <w:szCs w:val="24"/>
          <w:lang w:val="it-IT" w:eastAsia="zh-CN" w:bidi="ar-SA"/>
        </w:rPr>
        <w:t>sabato</w:t>
      </w:r>
      <w:r>
        <w:rPr>
          <w:rFonts w:eastAsia="Batang;바탕"/>
          <w:b/>
          <w:bCs/>
          <w:sz w:val="24"/>
          <w:szCs w:val="24"/>
        </w:rPr>
        <w:t xml:space="preserve"> 31 agosto 202</w:t>
      </w:r>
      <w:r>
        <w:rPr>
          <w:rFonts w:eastAsia="Batang;바탕" w:cs="Times New Roman"/>
          <w:b/>
          <w:bCs/>
          <w:color w:val="auto"/>
          <w:sz w:val="24"/>
          <w:szCs w:val="24"/>
          <w:lang w:val="it-IT" w:eastAsia="zh-CN" w:bidi="ar-SA"/>
        </w:rPr>
        <w:t>4</w:t>
      </w:r>
      <w:r>
        <w:rPr>
          <w:rFonts w:eastAsia="Batang;바탕"/>
          <w:sz w:val="24"/>
          <w:szCs w:val="24"/>
        </w:rPr>
        <w:t xml:space="preserve">, dalle ore 8.00 alle ore 17.00 di ogni giorno della settimana, con esclusione delle sole domeniche, per un totale di </w:t>
      </w:r>
      <w:r>
        <w:rPr>
          <w:rFonts w:eastAsia="Batang;바탕" w:cs="Times New Roman"/>
          <w:color w:val="000000"/>
          <w:sz w:val="24"/>
          <w:szCs w:val="24"/>
          <w:shd w:fill="auto" w:val="clear"/>
          <w:lang w:val="it-IT" w:eastAsia="zh-CN" w:bidi="ar-SA"/>
        </w:rPr>
        <w:t>54</w:t>
      </w:r>
      <w:r>
        <w:rPr>
          <w:rFonts w:eastAsia="Batang;바탕"/>
          <w:sz w:val="24"/>
          <w:szCs w:val="24"/>
        </w:rPr>
        <w:t xml:space="preserve"> giornate. </w:t>
      </w:r>
    </w:p>
    <w:p>
      <w:pPr>
        <w:pStyle w:val="Normal"/>
        <w:spacing w:lineRule="auto" w:line="276"/>
        <w:jc w:val="both"/>
        <w:rPr>
          <w:rFonts w:eastAsia="Batang;바탕"/>
          <w:sz w:val="24"/>
          <w:szCs w:val="24"/>
        </w:rPr>
      </w:pPr>
      <w:r>
        <w:rPr>
          <w:rFonts w:eastAsia="Batang;바탕"/>
          <w:sz w:val="24"/>
          <w:szCs w:val="24"/>
        </w:rPr>
        <w:t xml:space="preserve">I CRE svolgono un’attività di carattere ricreativo, ludico e assistenziale. </w:t>
      </w:r>
    </w:p>
    <w:p>
      <w:pPr>
        <w:pStyle w:val="Normal"/>
        <w:spacing w:lineRule="auto" w:line="276"/>
        <w:jc w:val="both"/>
        <w:rPr>
          <w:rFonts w:eastAsia="Batang;바탕"/>
          <w:sz w:val="24"/>
          <w:szCs w:val="24"/>
        </w:rPr>
      </w:pPr>
      <w:r>
        <w:rPr>
          <w:rFonts w:eastAsia="Batang;바탕"/>
          <w:sz w:val="24"/>
          <w:szCs w:val="24"/>
        </w:rPr>
        <w:t>E’ compreso il servizio di mensa secondo il menù stabilito dal servizio dietetico dell’AUSL di Cesena.</w:t>
      </w:r>
    </w:p>
    <w:p>
      <w:pPr>
        <w:pStyle w:val="Normal"/>
        <w:spacing w:lineRule="auto" w:line="276"/>
        <w:jc w:val="both"/>
        <w:rPr>
          <w:rFonts w:eastAsia="Batang;바탕"/>
          <w:b/>
          <w:sz w:val="24"/>
          <w:szCs w:val="24"/>
          <w:u w:val="double"/>
        </w:rPr>
      </w:pPr>
      <w:r>
        <w:rPr>
          <w:rFonts w:eastAsia="Batang;바탕"/>
          <w:b/>
          <w:sz w:val="24"/>
          <w:szCs w:val="24"/>
          <w:u w:val="double"/>
        </w:rPr>
      </w:r>
    </w:p>
    <w:p>
      <w:pPr>
        <w:pStyle w:val="Normal"/>
        <w:spacing w:lineRule="auto" w:line="276"/>
        <w:jc w:val="both"/>
        <w:rPr>
          <w:rFonts w:eastAsia="Batang;바탕"/>
          <w:b/>
          <w:sz w:val="24"/>
          <w:szCs w:val="24"/>
          <w:u w:val="double"/>
        </w:rPr>
      </w:pPr>
      <w:r>
        <w:rPr>
          <w:rFonts w:eastAsia="Batang;바탕"/>
          <w:b/>
          <w:sz w:val="24"/>
          <w:szCs w:val="24"/>
          <w:u w:val="double"/>
        </w:rPr>
        <w:t>Art. 2 Destinatari del servizio</w:t>
      </w:r>
    </w:p>
    <w:p>
      <w:pPr>
        <w:pStyle w:val="Normal"/>
        <w:spacing w:lineRule="auto" w:line="276"/>
        <w:jc w:val="both"/>
        <w:rPr>
          <w:rFonts w:eastAsia="Batang;바탕"/>
          <w:b/>
          <w:sz w:val="24"/>
          <w:szCs w:val="24"/>
          <w:u w:val="double"/>
        </w:rPr>
      </w:pPr>
      <w:r>
        <w:rPr>
          <w:rFonts w:eastAsia="Batang;바탕"/>
          <w:b/>
          <w:sz w:val="24"/>
          <w:szCs w:val="24"/>
          <w:u w:val="double"/>
        </w:rPr>
      </w:r>
    </w:p>
    <w:p>
      <w:pPr>
        <w:pStyle w:val="Normal"/>
        <w:spacing w:lineRule="auto" w:line="276"/>
        <w:jc w:val="both"/>
        <w:rPr/>
      </w:pPr>
      <w:r>
        <w:rPr>
          <w:rFonts w:eastAsia="Batang;바탕"/>
          <w:sz w:val="24"/>
          <w:szCs w:val="24"/>
        </w:rPr>
        <w:t xml:space="preserve">L’ammissione ai centri è riservata ai bambini residenti nel Comune di Cesenatico, che abbiano frequentato o siano in età per frequentare gli istituti scolastici </w:t>
      </w:r>
      <w:r>
        <w:rPr>
          <w:rFonts w:eastAsia="Batang;바탕"/>
          <w:sz w:val="24"/>
          <w:szCs w:val="24"/>
          <w:shd w:fill="auto" w:val="clear"/>
        </w:rPr>
        <w:t xml:space="preserve">e che abbiano almeno 3 anni compiuti alla data di avvio del servizio (1° </w:t>
      </w:r>
      <w:r>
        <w:rPr>
          <w:rFonts w:eastAsia="Batang;바탕" w:cs="Times New Roman"/>
          <w:color w:val="000000"/>
          <w:sz w:val="24"/>
          <w:szCs w:val="24"/>
          <w:shd w:fill="auto" w:val="clear"/>
          <w:lang w:val="it-IT" w:eastAsia="zh-CN" w:bidi="ar-SA"/>
        </w:rPr>
        <w:t>luglio 2024</w:t>
      </w:r>
      <w:r>
        <w:rPr>
          <w:rFonts w:eastAsia="Batang;바탕"/>
          <w:sz w:val="24"/>
          <w:szCs w:val="24"/>
          <w:shd w:fill="auto" w:val="clear"/>
        </w:rPr>
        <w:t>),</w:t>
      </w:r>
      <w:r>
        <w:rPr>
          <w:rFonts w:eastAsia="Batang;바탕"/>
          <w:sz w:val="24"/>
          <w:szCs w:val="24"/>
        </w:rPr>
        <w:t xml:space="preserve"> che appartengano a nuclei familiari in cui entrambi i genitori esercitino attività lavorativa, o a nuclei familiari in carico al competente servizio sociale o nel caso di bambini e ragazzi portatori di disabilità.</w:t>
      </w:r>
    </w:p>
    <w:p>
      <w:pPr>
        <w:pStyle w:val="Normal"/>
        <w:spacing w:lineRule="auto" w:line="276"/>
        <w:jc w:val="both"/>
        <w:rPr>
          <w:rFonts w:eastAsia="Batang;바탕"/>
          <w:sz w:val="24"/>
          <w:szCs w:val="24"/>
        </w:rPr>
      </w:pPr>
      <w:r>
        <w:rPr>
          <w:rFonts w:eastAsia="Batang;바탕"/>
          <w:sz w:val="24"/>
          <w:szCs w:val="24"/>
        </w:rPr>
        <w:t>I posti disponibili sono suddivisi in proporzione alle domande pervenute per le fasce d’età riportate di seguito:</w:t>
      </w:r>
    </w:p>
    <w:p>
      <w:pPr>
        <w:pStyle w:val="Normal"/>
        <w:numPr>
          <w:ilvl w:val="0"/>
          <w:numId w:val="2"/>
        </w:numPr>
        <w:spacing w:lineRule="auto" w:line="276"/>
        <w:jc w:val="both"/>
        <w:rPr>
          <w:rFonts w:eastAsia="Batang;바탕"/>
          <w:sz w:val="24"/>
          <w:szCs w:val="24"/>
        </w:rPr>
      </w:pPr>
      <w:r>
        <w:rPr>
          <w:rFonts w:eastAsia="Batang;바탕"/>
          <w:sz w:val="24"/>
          <w:szCs w:val="24"/>
        </w:rPr>
        <w:t>bambini in età di scuola dell’infanzia (materna)</w:t>
      </w:r>
    </w:p>
    <w:p>
      <w:pPr>
        <w:pStyle w:val="Normal"/>
        <w:numPr>
          <w:ilvl w:val="0"/>
          <w:numId w:val="2"/>
        </w:numPr>
        <w:spacing w:lineRule="auto" w:line="276"/>
        <w:jc w:val="both"/>
        <w:rPr>
          <w:rFonts w:eastAsia="Batang;바탕"/>
          <w:sz w:val="24"/>
          <w:szCs w:val="24"/>
        </w:rPr>
      </w:pPr>
      <w:r>
        <w:rPr>
          <w:rFonts w:eastAsia="Batang;바탕"/>
          <w:sz w:val="24"/>
          <w:szCs w:val="24"/>
        </w:rPr>
        <w:t>bambini in età di scuola primaria (elementare)</w:t>
      </w:r>
    </w:p>
    <w:p>
      <w:pPr>
        <w:pStyle w:val="Normal"/>
        <w:numPr>
          <w:ilvl w:val="0"/>
          <w:numId w:val="2"/>
        </w:numPr>
        <w:spacing w:lineRule="auto" w:line="276"/>
        <w:jc w:val="both"/>
        <w:rPr>
          <w:rFonts w:eastAsia="Batang;바탕"/>
          <w:sz w:val="24"/>
          <w:szCs w:val="24"/>
        </w:rPr>
      </w:pPr>
      <w:r>
        <w:rPr>
          <w:rFonts w:eastAsia="Batang;바탕"/>
          <w:sz w:val="24"/>
          <w:szCs w:val="24"/>
        </w:rPr>
        <w:t>bambini in età di scuola superiore di 1° grado (scuola media)</w:t>
      </w:r>
    </w:p>
    <w:p>
      <w:pPr>
        <w:pStyle w:val="Normal"/>
        <w:spacing w:lineRule="auto" w:line="276"/>
        <w:jc w:val="both"/>
        <w:rPr>
          <w:rFonts w:eastAsia="Batang;바탕"/>
          <w:sz w:val="24"/>
          <w:szCs w:val="24"/>
        </w:rPr>
      </w:pPr>
      <w:r>
        <w:rPr>
          <w:rFonts w:eastAsia="Batang;바탕"/>
          <w:sz w:val="24"/>
          <w:szCs w:val="24"/>
        </w:rPr>
      </w:r>
    </w:p>
    <w:p>
      <w:pPr>
        <w:pStyle w:val="Normal"/>
        <w:spacing w:lineRule="auto" w:line="276"/>
        <w:jc w:val="both"/>
        <w:rPr/>
      </w:pPr>
      <w:r>
        <w:rPr>
          <w:rFonts w:eastAsia="Batang;바탕"/>
          <w:sz w:val="24"/>
          <w:szCs w:val="24"/>
        </w:rPr>
        <w:t>La ricettività totale, che viene definita sulla base delle risorse finanziarie annualmente disponibili, per l’estate</w:t>
      </w:r>
      <w:r>
        <w:rPr>
          <w:rFonts w:eastAsia="Batang;바탕"/>
          <w:sz w:val="24"/>
          <w:szCs w:val="24"/>
          <w:shd w:fill="auto" w:val="clear"/>
        </w:rPr>
        <w:t xml:space="preserve"> 202</w:t>
      </w:r>
      <w:r>
        <w:rPr>
          <w:rFonts w:eastAsia="Batang;바탕" w:cs="Times New Roman"/>
          <w:color w:val="000000"/>
          <w:sz w:val="24"/>
          <w:szCs w:val="24"/>
          <w:shd w:fill="auto" w:val="clear"/>
          <w:lang w:val="it-IT" w:eastAsia="zh-CN" w:bidi="ar-SA"/>
        </w:rPr>
        <w:t>4</w:t>
      </w:r>
      <w:r>
        <w:rPr>
          <w:rFonts w:eastAsia="Batang;바탕"/>
          <w:sz w:val="24"/>
          <w:szCs w:val="24"/>
          <w:shd w:fill="auto" w:val="clear"/>
        </w:rPr>
        <w:t xml:space="preserve"> è di n. </w:t>
      </w:r>
      <w:r>
        <w:rPr>
          <w:rFonts w:eastAsia="Batang;바탕" w:cs="Times New Roman"/>
          <w:color w:val="000000"/>
          <w:sz w:val="24"/>
          <w:szCs w:val="24"/>
          <w:shd w:fill="auto" w:val="clear"/>
          <w:lang w:val="it-IT" w:eastAsia="zh-CN" w:bidi="ar-SA"/>
        </w:rPr>
        <w:t xml:space="preserve">160 </w:t>
      </w:r>
      <w:r>
        <w:rPr>
          <w:rFonts w:eastAsia="Batang;바탕"/>
          <w:sz w:val="24"/>
          <w:szCs w:val="24"/>
          <w:shd w:fill="auto" w:val="clear"/>
        </w:rPr>
        <w:t>per il mese di luglio e di n.</w:t>
      </w:r>
      <w:r>
        <w:rPr>
          <w:rFonts w:eastAsia="Batang;바탕" w:cs="Times New Roman"/>
          <w:color w:val="000000"/>
          <w:sz w:val="24"/>
          <w:szCs w:val="24"/>
          <w:shd w:fill="auto" w:val="clear"/>
          <w:lang w:val="it-IT" w:eastAsia="zh-CN" w:bidi="ar-SA"/>
        </w:rPr>
        <w:t xml:space="preserve">160 </w:t>
      </w:r>
      <w:r>
        <w:rPr>
          <w:rFonts w:eastAsia="Batang;바탕"/>
          <w:sz w:val="24"/>
          <w:szCs w:val="24"/>
          <w:shd w:fill="auto" w:val="clear"/>
        </w:rPr>
        <w:t>per il mese di agosto.</w:t>
      </w:r>
    </w:p>
    <w:p>
      <w:pPr>
        <w:pStyle w:val="Normal"/>
        <w:spacing w:lineRule="auto" w:line="276"/>
        <w:jc w:val="both"/>
        <w:rPr/>
      </w:pPr>
      <w:r>
        <w:rPr>
          <w:rFonts w:eastAsia="Batang;바탕"/>
          <w:sz w:val="24"/>
          <w:szCs w:val="24"/>
          <w:shd w:fill="auto" w:val="clear"/>
        </w:rPr>
        <w:t>Nel caso in cui sia esaurita la richiesta da parte di famiglie con bambini appartenenti ad una determinata fascia di età, i posti disponibili, ove possibile, saranno messi a disposizione delle altre fasce di età, tenuto conto di criteri organizzativi e del maggior numero di bambini in lista di attesa.</w:t>
      </w:r>
    </w:p>
    <w:p>
      <w:pPr>
        <w:pStyle w:val="Normal"/>
        <w:spacing w:lineRule="auto" w:line="276"/>
        <w:jc w:val="both"/>
        <w:rPr>
          <w:rFonts w:eastAsia="Batang;바탕"/>
          <w:b/>
          <w:sz w:val="24"/>
          <w:szCs w:val="24"/>
          <w:u w:val="double"/>
          <w:shd w:fill="auto" w:val="clear"/>
        </w:rPr>
      </w:pPr>
      <w:r>
        <w:rPr>
          <w:rFonts w:eastAsia="Batang;바탕"/>
          <w:b/>
          <w:sz w:val="24"/>
          <w:szCs w:val="24"/>
          <w:u w:val="double"/>
          <w:shd w:fill="auto" w:val="clear"/>
        </w:rPr>
      </w:r>
    </w:p>
    <w:p>
      <w:pPr>
        <w:pStyle w:val="Normal"/>
        <w:spacing w:lineRule="auto" w:line="276"/>
        <w:jc w:val="both"/>
        <w:rPr>
          <w:rFonts w:eastAsia="Batang;바탕"/>
          <w:b/>
          <w:sz w:val="24"/>
          <w:szCs w:val="24"/>
          <w:u w:val="double"/>
        </w:rPr>
      </w:pPr>
      <w:r>
        <w:rPr>
          <w:rFonts w:eastAsia="Batang;바탕"/>
          <w:b/>
          <w:sz w:val="24"/>
          <w:szCs w:val="24"/>
          <w:u w:val="double"/>
        </w:rPr>
      </w:r>
    </w:p>
    <w:p>
      <w:pPr>
        <w:pStyle w:val="Normal"/>
        <w:spacing w:lineRule="auto" w:line="276"/>
        <w:jc w:val="both"/>
        <w:rPr>
          <w:rFonts w:eastAsia="Batang;바탕"/>
          <w:b/>
          <w:sz w:val="24"/>
          <w:szCs w:val="24"/>
          <w:u w:val="double"/>
        </w:rPr>
      </w:pPr>
      <w:r>
        <w:rPr>
          <w:rFonts w:eastAsia="Batang;바탕"/>
          <w:b/>
          <w:sz w:val="24"/>
          <w:szCs w:val="24"/>
          <w:u w:val="double"/>
        </w:rPr>
        <w:t>Art. 3 Requisiti sanitari per l’ammissione dei minori</w:t>
      </w:r>
    </w:p>
    <w:p>
      <w:pPr>
        <w:pStyle w:val="Normal"/>
        <w:spacing w:lineRule="auto" w:line="276"/>
        <w:jc w:val="both"/>
        <w:rPr>
          <w:rFonts w:eastAsia="Batang;바탕"/>
          <w:b/>
          <w:sz w:val="24"/>
          <w:szCs w:val="24"/>
          <w:u w:val="double"/>
        </w:rPr>
      </w:pPr>
      <w:r>
        <w:rPr>
          <w:rFonts w:eastAsia="Batang;바탕"/>
          <w:b/>
          <w:sz w:val="24"/>
          <w:szCs w:val="24"/>
          <w:u w:val="double"/>
        </w:rPr>
      </w:r>
    </w:p>
    <w:p>
      <w:pPr>
        <w:pStyle w:val="Normal"/>
        <w:spacing w:lineRule="auto" w:line="276"/>
        <w:jc w:val="both"/>
        <w:rPr>
          <w:rFonts w:eastAsia="Batang;바탕"/>
          <w:b w:val="false"/>
          <w:bCs w:val="false"/>
          <w:sz w:val="24"/>
          <w:szCs w:val="24"/>
          <w:u w:val="none"/>
          <w:shd w:fill="auto" w:val="clear"/>
        </w:rPr>
      </w:pPr>
      <w:r>
        <w:rPr>
          <w:rFonts w:eastAsia="Batang;바탕"/>
          <w:b w:val="false"/>
          <w:bCs w:val="false"/>
          <w:sz w:val="24"/>
          <w:szCs w:val="24"/>
          <w:u w:val="none"/>
          <w:shd w:fill="auto" w:val="clear"/>
        </w:rPr>
        <w:t>Per la frequenza del centro estivo non è richiesto certificato medico.</w:t>
      </w:r>
    </w:p>
    <w:p>
      <w:pPr>
        <w:pStyle w:val="Normal"/>
        <w:spacing w:lineRule="auto" w:line="276"/>
        <w:jc w:val="both"/>
        <w:rPr>
          <w:rFonts w:eastAsia="Batang;바탕"/>
          <w:b w:val="false"/>
          <w:bCs w:val="false"/>
          <w:sz w:val="24"/>
          <w:szCs w:val="24"/>
          <w:u w:val="none"/>
        </w:rPr>
      </w:pPr>
      <w:r>
        <w:rPr>
          <w:rFonts w:eastAsia="Batang;바탕"/>
          <w:b w:val="false"/>
          <w:bCs w:val="false"/>
          <w:sz w:val="24"/>
          <w:szCs w:val="24"/>
          <w:u w:val="none"/>
        </w:rPr>
        <w:t>Al fine di rilevare la presenza di eventuali problemi di salute del minore occorre che i titolari della   potestà genitoriale segnalino al gestore le eventuali condizioni in merito a:</w:t>
      </w:r>
    </w:p>
    <w:p>
      <w:pPr>
        <w:pStyle w:val="Normal"/>
        <w:spacing w:lineRule="auto" w:line="276"/>
        <w:jc w:val="both"/>
        <w:rPr>
          <w:rFonts w:eastAsia="Batang;바탕"/>
          <w:b w:val="false"/>
          <w:bCs w:val="false"/>
          <w:sz w:val="24"/>
          <w:szCs w:val="24"/>
          <w:u w:val="none"/>
        </w:rPr>
      </w:pPr>
      <w:r>
        <w:rPr>
          <w:rFonts w:eastAsia="Batang;바탕"/>
          <w:b w:val="false"/>
          <w:bCs w:val="false"/>
          <w:sz w:val="24"/>
          <w:szCs w:val="24"/>
          <w:u w:val="none"/>
        </w:rPr>
        <w:t>- allergie/intolleranze alimentari (ai fini della dieta appropriata);</w:t>
      </w:r>
    </w:p>
    <w:p>
      <w:pPr>
        <w:pStyle w:val="Normal"/>
        <w:spacing w:lineRule="auto" w:line="276"/>
        <w:jc w:val="both"/>
        <w:rPr>
          <w:rFonts w:eastAsia="Batang;바탕"/>
          <w:b w:val="false"/>
          <w:bCs w:val="false"/>
          <w:sz w:val="24"/>
          <w:szCs w:val="24"/>
          <w:u w:val="none"/>
        </w:rPr>
      </w:pPr>
      <w:r>
        <w:rPr>
          <w:rFonts w:eastAsia="Batang;바탕"/>
          <w:b w:val="false"/>
          <w:bCs w:val="false"/>
          <w:sz w:val="24"/>
          <w:szCs w:val="24"/>
          <w:u w:val="none"/>
        </w:rPr>
        <w:t>- patologie croniche e/o terapie in atto.</w:t>
      </w:r>
    </w:p>
    <w:p>
      <w:pPr>
        <w:pStyle w:val="Normal"/>
        <w:spacing w:lineRule="auto" w:line="276"/>
        <w:jc w:val="both"/>
        <w:rPr>
          <w:rFonts w:eastAsia="Batang;바탕"/>
          <w:b w:val="false"/>
          <w:bCs w:val="false"/>
          <w:sz w:val="24"/>
          <w:szCs w:val="24"/>
          <w:u w:val="none"/>
        </w:rPr>
      </w:pPr>
      <w:r>
        <w:rPr>
          <w:rFonts w:eastAsia="Batang;바탕"/>
          <w:b w:val="false"/>
          <w:bCs w:val="false"/>
          <w:sz w:val="24"/>
          <w:szCs w:val="24"/>
          <w:u w:val="none"/>
        </w:rPr>
        <w:t>Tali condizioni devono essere riportate nella Scheda sanitaria per minori allegata alla presente Carta di servizio (allegato B sub A), autocertificate e sottoscritte da chi esercita la responsabilità genitoriale.</w:t>
      </w:r>
    </w:p>
    <w:p>
      <w:pPr>
        <w:pStyle w:val="Normal"/>
        <w:spacing w:lineRule="auto" w:line="276"/>
        <w:jc w:val="both"/>
        <w:rPr>
          <w:rFonts w:eastAsia="Batang;바탕"/>
          <w:b w:val="false"/>
          <w:bCs w:val="false"/>
          <w:sz w:val="24"/>
          <w:szCs w:val="24"/>
          <w:u w:val="none"/>
        </w:rPr>
      </w:pPr>
      <w:r>
        <w:rPr>
          <w:rFonts w:eastAsia="Batang;바탕"/>
          <w:b w:val="false"/>
          <w:bCs w:val="false"/>
          <w:sz w:val="24"/>
          <w:szCs w:val="24"/>
          <w:u w:val="none"/>
        </w:rPr>
        <w:t>Per chi ha necessità di somministrazione farmaci durante l’orario di frequenza del centro estivo occorre presentare la relativa richiesta di somministrazione (allegato B sub B) allegando l’autorizzazione della Pediatria di Comunità dell’Asl.</w:t>
      </w:r>
    </w:p>
    <w:p>
      <w:pPr>
        <w:pStyle w:val="Normal"/>
        <w:spacing w:lineRule="auto" w:line="276"/>
        <w:jc w:val="both"/>
        <w:rPr>
          <w:rFonts w:eastAsia="Batang;바탕"/>
          <w:b w:val="false"/>
          <w:bCs w:val="false"/>
          <w:sz w:val="24"/>
          <w:szCs w:val="24"/>
          <w:u w:val="none"/>
        </w:rPr>
      </w:pPr>
      <w:r>
        <w:rPr>
          <w:rFonts w:eastAsia="Batang;바탕"/>
          <w:b w:val="false"/>
          <w:bCs w:val="false"/>
          <w:sz w:val="24"/>
          <w:szCs w:val="24"/>
          <w:u w:val="none"/>
        </w:rPr>
      </w:r>
    </w:p>
    <w:p>
      <w:pPr>
        <w:pStyle w:val="Normal"/>
        <w:spacing w:lineRule="auto" w:line="276"/>
        <w:jc w:val="both"/>
        <w:rPr/>
      </w:pPr>
      <w:r>
        <w:rPr>
          <w:rFonts w:eastAsia="Batang;바탕"/>
          <w:b/>
          <w:sz w:val="24"/>
          <w:szCs w:val="24"/>
          <w:u w:val="double"/>
        </w:rPr>
        <w:t>Art. 4 Portatori di disabilità, casi sociali e con status di</w:t>
      </w:r>
      <w:r>
        <w:rPr>
          <w:rFonts w:eastAsia="Batang;바탕"/>
          <w:b/>
          <w:sz w:val="24"/>
          <w:szCs w:val="24"/>
          <w:u w:val="double"/>
          <w:shd w:fill="auto" w:val="clear"/>
        </w:rPr>
        <w:t xml:space="preserve"> profughi/rifugiati</w:t>
      </w:r>
    </w:p>
    <w:p>
      <w:pPr>
        <w:pStyle w:val="Normal"/>
        <w:spacing w:lineRule="auto" w:line="276"/>
        <w:jc w:val="both"/>
        <w:rPr>
          <w:rFonts w:eastAsia="Batang;바탕"/>
          <w:b/>
          <w:sz w:val="24"/>
          <w:szCs w:val="24"/>
          <w:u w:val="double"/>
        </w:rPr>
      </w:pPr>
      <w:r>
        <w:rPr>
          <w:rFonts w:eastAsia="Batang;바탕"/>
          <w:b/>
          <w:sz w:val="24"/>
          <w:szCs w:val="24"/>
          <w:u w:val="double"/>
        </w:rPr>
      </w:r>
    </w:p>
    <w:p>
      <w:pPr>
        <w:pStyle w:val="Normal"/>
        <w:spacing w:lineRule="auto" w:line="276"/>
        <w:jc w:val="both"/>
        <w:rPr>
          <w:highlight w:val="none"/>
          <w:shd w:fill="auto" w:val="clear"/>
        </w:rPr>
      </w:pPr>
      <w:r>
        <w:rPr>
          <w:rFonts w:eastAsia="Batang;바탕"/>
          <w:sz w:val="24"/>
          <w:szCs w:val="24"/>
          <w:shd w:fill="auto" w:val="clear"/>
        </w:rPr>
        <w:t xml:space="preserve">I bambini portatori di disabilità appartenenti a nuclei familiari in carico al competente Servizio Sociale e quelli aventi lo status di profughi/rifugiati che hanno diritto di inserimento prioritario ai Centri Ricreativi Estivi, devono documentare </w:t>
      </w:r>
      <w:r>
        <w:rPr>
          <w:rFonts w:eastAsia="Batang;바탕"/>
          <w:sz w:val="24"/>
          <w:szCs w:val="24"/>
          <w:shd w:fill="auto" w:val="clear"/>
        </w:rPr>
        <w:t>adeguatamente</w:t>
      </w:r>
      <w:r>
        <w:rPr>
          <w:rFonts w:eastAsia="Batang;바탕"/>
          <w:sz w:val="24"/>
          <w:szCs w:val="24"/>
          <w:shd w:fill="auto" w:val="clear"/>
        </w:rPr>
        <w:t>, nei termini del bando, la propria condizione.</w:t>
      </w:r>
    </w:p>
    <w:p>
      <w:pPr>
        <w:pStyle w:val="Normal"/>
        <w:spacing w:lineRule="auto" w:line="276"/>
        <w:jc w:val="both"/>
        <w:rPr>
          <w:highlight w:val="none"/>
          <w:shd w:fill="auto" w:val="clear"/>
        </w:rPr>
      </w:pPr>
      <w:r>
        <w:rPr>
          <w:rFonts w:eastAsia="Batang;바탕"/>
          <w:sz w:val="24"/>
          <w:szCs w:val="24"/>
          <w:shd w:fill="auto" w:val="clear"/>
        </w:rPr>
        <w:t xml:space="preserve">Le domande presentate fuori termine da portatori di disabilità o casi sociali o </w:t>
      </w:r>
      <w:r>
        <w:rPr>
          <w:rFonts w:eastAsia="Batang;바탕" w:cs="Times New Roman"/>
          <w:color w:val="000000"/>
          <w:sz w:val="24"/>
          <w:szCs w:val="24"/>
          <w:shd w:fill="auto" w:val="clear"/>
          <w:lang w:val="it-IT" w:eastAsia="zh-CN" w:bidi="ar-SA"/>
        </w:rPr>
        <w:t>da bambini/e</w:t>
      </w:r>
      <w:r>
        <w:rPr>
          <w:rFonts w:eastAsia="Batang;바탕"/>
          <w:sz w:val="24"/>
          <w:szCs w:val="24"/>
          <w:shd w:fill="auto" w:val="clear"/>
        </w:rPr>
        <w:t xml:space="preserve"> aventi lo status di profugo/rifugiato, saranno ammesse con diritto di priorità fino alla approvazione della graduatoria o all’inizio della “Lista di attesa” se presentata dopo l’approvazione della graduatoria.</w:t>
      </w:r>
    </w:p>
    <w:p>
      <w:pPr>
        <w:pStyle w:val="Normal"/>
        <w:spacing w:lineRule="auto" w:line="276" w:before="120" w:after="0"/>
        <w:jc w:val="both"/>
        <w:rPr>
          <w:highlight w:val="none"/>
          <w:shd w:fill="auto" w:val="clear"/>
        </w:rPr>
      </w:pPr>
      <w:r>
        <w:rPr>
          <w:rFonts w:eastAsia="Batang;바탕"/>
          <w:b/>
          <w:sz w:val="24"/>
          <w:szCs w:val="24"/>
          <w:shd w:fill="auto" w:val="clear"/>
        </w:rPr>
        <w:t>L'eventuale inserimento di bambini portatori di disabilità dovrà essere concordato con il competente servizio AUSL relativamente al tempo di permanenza al centro, al personale di assistenza eventualmente necessario e copertura oraria da parte dello stesso.</w:t>
      </w:r>
    </w:p>
    <w:p>
      <w:pPr>
        <w:pStyle w:val="Normal"/>
        <w:spacing w:lineRule="auto" w:line="276" w:before="120" w:after="0"/>
        <w:jc w:val="both"/>
        <w:rPr>
          <w:highlight w:val="none"/>
          <w:shd w:fill="auto" w:val="clear"/>
        </w:rPr>
      </w:pPr>
      <w:r>
        <w:rPr>
          <w:rFonts w:eastAsia="Batang;바탕"/>
          <w:b w:val="false"/>
          <w:bCs w:val="false"/>
          <w:sz w:val="24"/>
          <w:szCs w:val="24"/>
          <w:u w:val="none"/>
          <w:shd w:fill="auto" w:val="clear"/>
        </w:rPr>
        <w:t>L’utilizzo parziale del servizio da parte di bimbi portatori di disabilità comporterà una riduzione proporzionale della tariffa stabilita.</w:t>
      </w:r>
    </w:p>
    <w:p>
      <w:pPr>
        <w:pStyle w:val="Normal"/>
        <w:spacing w:lineRule="auto" w:line="276" w:before="120" w:after="0"/>
        <w:jc w:val="both"/>
        <w:rPr>
          <w:highlight w:val="none"/>
          <w:shd w:fill="auto" w:val="clear"/>
        </w:rPr>
      </w:pPr>
      <w:r>
        <w:rPr>
          <w:rFonts w:eastAsia="Batang;바탕"/>
          <w:b w:val="false"/>
          <w:bCs w:val="false"/>
          <w:sz w:val="24"/>
          <w:szCs w:val="24"/>
          <w:u w:val="none"/>
          <w:shd w:fill="auto" w:val="clear"/>
        </w:rPr>
        <w:t>Per l’estate 2024, in risposta al quadro emergenziale</w:t>
      </w:r>
      <w:r>
        <w:rPr>
          <w:rFonts w:eastAsia="Batang;바탕" w:cs="Times New Roman"/>
          <w:b w:val="false"/>
          <w:bCs w:val="false"/>
          <w:sz w:val="24"/>
          <w:szCs w:val="24"/>
          <w:u w:val="none"/>
          <w:shd w:fill="auto" w:val="clear"/>
        </w:rPr>
        <w:t xml:space="preserve"> in atto in Ucraina, </w:t>
      </w:r>
      <w:r>
        <w:rPr>
          <w:rFonts w:eastAsia="Batang;바탕"/>
          <w:b w:val="false"/>
          <w:bCs w:val="false"/>
          <w:sz w:val="24"/>
          <w:szCs w:val="24"/>
          <w:u w:val="none"/>
          <w:shd w:fill="auto" w:val="clear"/>
        </w:rPr>
        <w:t xml:space="preserve">il Comune di Cesenatico ha disposto </w:t>
      </w:r>
      <w:r>
        <w:rPr>
          <w:rFonts w:eastAsia="Batang;바탕" w:ascii="TimesNewRomanPSMT" w:hAnsi="TimesNewRomanPSMT"/>
          <w:b w:val="false"/>
          <w:bCs w:val="false"/>
          <w:sz w:val="24"/>
          <w:szCs w:val="24"/>
          <w:u w:val="none"/>
          <w:shd w:fill="auto" w:val="clear"/>
        </w:rPr>
        <w:t>la gratuità del servizio dei centri estivi comunali per gli alunni ucraini domiciliati a Cesenatico con status di profugo/rifugiato.</w:t>
      </w:r>
    </w:p>
    <w:p>
      <w:pPr>
        <w:pStyle w:val="Normal"/>
        <w:spacing w:lineRule="auto" w:line="276" w:before="120" w:after="0"/>
        <w:jc w:val="both"/>
        <w:rPr>
          <w:highlight w:val="none"/>
          <w:shd w:fill="FFFF00" w:val="clear"/>
        </w:rPr>
      </w:pPr>
      <w:r>
        <w:rPr>
          <w:rFonts w:eastAsia="Batang;바탕"/>
          <w:b w:val="false"/>
          <w:bCs w:val="false"/>
          <w:sz w:val="24"/>
          <w:szCs w:val="24"/>
          <w:u w:val="none"/>
        </w:rPr>
      </w:r>
    </w:p>
    <w:p>
      <w:pPr>
        <w:pStyle w:val="Normal"/>
        <w:spacing w:lineRule="auto" w:line="276"/>
        <w:jc w:val="both"/>
        <w:rPr>
          <w:rFonts w:eastAsia="Batang;바탕"/>
          <w:b/>
          <w:sz w:val="24"/>
          <w:szCs w:val="24"/>
          <w:u w:val="double"/>
        </w:rPr>
      </w:pPr>
      <w:r>
        <w:rPr>
          <w:rFonts w:eastAsia="Batang;바탕"/>
          <w:b/>
          <w:sz w:val="24"/>
          <w:szCs w:val="24"/>
          <w:u w:val="double"/>
        </w:rPr>
        <w:t>Art. 5 Modalità di presentazione della domanda</w:t>
      </w:r>
    </w:p>
    <w:p>
      <w:pPr>
        <w:pStyle w:val="Normal"/>
        <w:spacing w:before="120" w:after="0"/>
        <w:jc w:val="both"/>
        <w:rPr/>
      </w:pPr>
      <w:r>
        <w:rPr>
          <w:rStyle w:val="Hyperlink"/>
          <w:rFonts w:eastAsia="Batang;바탕" w:cs="Times New Roman"/>
          <w:b w:val="false"/>
          <w:bCs w:val="false"/>
          <w:color w:val="000000"/>
          <w:spacing w:val="3"/>
          <w:sz w:val="24"/>
          <w:szCs w:val="24"/>
          <w:u w:val="single"/>
          <w:shd w:fill="auto" w:val="clear"/>
        </w:rPr>
        <w:t>La presentazione della domanda da parte degli utenti dovrà avvenire esclusivamente on line</w:t>
      </w:r>
      <w:r>
        <w:rPr>
          <w:rStyle w:val="Hyperlink"/>
          <w:rFonts w:eastAsia="Batang;바탕" w:cs="Times New Roman"/>
          <w:b w:val="false"/>
          <w:bCs w:val="false"/>
          <w:color w:val="000000"/>
          <w:spacing w:val="3"/>
          <w:sz w:val="24"/>
          <w:szCs w:val="24"/>
          <w:u w:val="none"/>
          <w:shd w:fill="auto" w:val="clear"/>
        </w:rPr>
        <w:t xml:space="preserve"> accedendo tramite credenziali SPID alla piattaforma dedicata disponibile sul sito comunale </w:t>
      </w:r>
      <w:hyperlink r:id="rId2">
        <w:r>
          <w:rPr>
            <w:rStyle w:val="Hyperlink"/>
            <w:rFonts w:eastAsia="Batang;바탕" w:cs="Times New Roman"/>
            <w:b w:val="false"/>
            <w:bCs w:val="false"/>
            <w:color w:val="000000"/>
            <w:spacing w:val="3"/>
            <w:sz w:val="24"/>
            <w:szCs w:val="24"/>
            <w:u w:val="none"/>
            <w:shd w:fill="auto" w:val="clear"/>
          </w:rPr>
          <w:t>www.comune.cesenatico.fc.it</w:t>
        </w:r>
      </w:hyperlink>
      <w:r>
        <w:rPr>
          <w:rStyle w:val="Hyperlink"/>
          <w:rFonts w:eastAsia="Batang;바탕" w:cs="Times New Roman"/>
          <w:b w:val="false"/>
          <w:bCs w:val="false"/>
          <w:color w:val="000000"/>
          <w:spacing w:val="3"/>
          <w:sz w:val="24"/>
          <w:szCs w:val="24"/>
          <w:u w:val="none"/>
          <w:shd w:fill="auto" w:val="clear"/>
        </w:rPr>
        <w:t xml:space="preserve"> (link notizie oppure link area tematica Scuola e Servizi per l’infanzia – Centri Estivi).</w:t>
      </w:r>
    </w:p>
    <w:p>
      <w:pPr>
        <w:pStyle w:val="Normal"/>
        <w:spacing w:before="120" w:after="0"/>
        <w:jc w:val="both"/>
        <w:rPr/>
      </w:pPr>
      <w:r>
        <w:rPr>
          <w:rFonts w:eastAsia="Batang;바탕" w:cs="Times New Roman"/>
          <w:b w:val="false"/>
          <w:sz w:val="24"/>
          <w:szCs w:val="24"/>
        </w:rPr>
        <w:t xml:space="preserve">Al termine della compilazione on-line la domanda dovrà essere inoltrata, mediante apposito comando, al Comune di Cesenatico entro e non oltre la </w:t>
      </w:r>
      <w:r>
        <w:rPr>
          <w:rFonts w:eastAsia="Batang;바탕" w:cs="Times New Roman"/>
          <w:b/>
          <w:bCs/>
          <w:sz w:val="24"/>
          <w:szCs w:val="24"/>
        </w:rPr>
        <w:t>scadenza</w:t>
      </w:r>
      <w:r>
        <w:rPr>
          <w:rFonts w:eastAsia="Batang;바탕" w:cs="Times New Roman"/>
          <w:b/>
          <w:sz w:val="24"/>
          <w:szCs w:val="24"/>
        </w:rPr>
        <w:t xml:space="preserve"> di </w:t>
      </w:r>
      <w:r>
        <w:rPr>
          <w:rFonts w:eastAsia="Batang;바탕" w:cs="Times New Roman"/>
          <w:b/>
          <w:color w:val="auto"/>
          <w:sz w:val="24"/>
          <w:szCs w:val="24"/>
          <w:lang w:val="it-IT" w:eastAsia="zh-CN" w:bidi="ar-SA"/>
        </w:rPr>
        <w:t>martedì 30 Aprile</w:t>
      </w:r>
      <w:r>
        <w:rPr>
          <w:rFonts w:cs="Times New Roman"/>
          <w:b/>
          <w:sz w:val="24"/>
          <w:szCs w:val="24"/>
        </w:rPr>
        <w:t xml:space="preserve"> 202</w:t>
      </w:r>
      <w:r>
        <w:rPr>
          <w:rFonts w:eastAsia="Times New Roman" w:cs="Times New Roman"/>
          <w:b/>
          <w:color w:val="auto"/>
          <w:sz w:val="24"/>
          <w:szCs w:val="24"/>
          <w:lang w:val="it-IT" w:eastAsia="zh-CN" w:bidi="ar-SA"/>
        </w:rPr>
        <w:t>4</w:t>
      </w:r>
      <w:r>
        <w:rPr>
          <w:rFonts w:cs="Times New Roman"/>
          <w:b w:val="false"/>
          <w:sz w:val="24"/>
          <w:szCs w:val="24"/>
        </w:rPr>
        <w:t>.</w:t>
      </w:r>
    </w:p>
    <w:p>
      <w:pPr>
        <w:pStyle w:val="Normal"/>
        <w:spacing w:lineRule="auto" w:line="276"/>
        <w:jc w:val="both"/>
        <w:rPr>
          <w:rFonts w:eastAsia="Batang;바탕"/>
          <w:sz w:val="24"/>
          <w:szCs w:val="24"/>
          <w:shd w:fill="auto" w:val="clear"/>
        </w:rPr>
      </w:pPr>
      <w:r>
        <w:rPr>
          <w:rFonts w:eastAsia="Batang;바탕"/>
          <w:sz w:val="24"/>
          <w:szCs w:val="24"/>
          <w:shd w:fill="auto" w:val="clear"/>
        </w:rPr>
      </w:r>
    </w:p>
    <w:p>
      <w:pPr>
        <w:pStyle w:val="Normal"/>
        <w:spacing w:lineRule="auto" w:line="276"/>
        <w:jc w:val="both"/>
        <w:rPr>
          <w:rFonts w:eastAsia="Batang;바탕"/>
          <w:sz w:val="24"/>
          <w:szCs w:val="24"/>
          <w:shd w:fill="auto" w:val="clear"/>
        </w:rPr>
      </w:pPr>
      <w:r>
        <w:rPr>
          <w:rFonts w:eastAsia="Batang;바탕"/>
          <w:sz w:val="24"/>
          <w:szCs w:val="24"/>
          <w:shd w:fill="auto" w:val="clear"/>
        </w:rPr>
        <w:t>Le domande vengono accolte ed ordinate secondo i seguenti criteri di priorità:</w:t>
      </w:r>
    </w:p>
    <w:p>
      <w:pPr>
        <w:pStyle w:val="Normal"/>
        <w:numPr>
          <w:ilvl w:val="0"/>
          <w:numId w:val="3"/>
        </w:numPr>
        <w:spacing w:lineRule="auto" w:line="276"/>
        <w:jc w:val="both"/>
        <w:rPr>
          <w:rFonts w:eastAsia="Batang;바탕"/>
          <w:sz w:val="24"/>
          <w:szCs w:val="24"/>
        </w:rPr>
      </w:pPr>
      <w:r>
        <w:rPr>
          <w:rFonts w:eastAsia="Batang;바탕"/>
          <w:sz w:val="24"/>
          <w:szCs w:val="24"/>
        </w:rPr>
        <w:t>bambino/a certificato dal competente servizio dell’Ausl come portatore di disabilità, per il quale il competente servizio richieda espressamente la frequenza al CRE;</w:t>
      </w:r>
    </w:p>
    <w:p>
      <w:pPr>
        <w:pStyle w:val="Normal"/>
        <w:numPr>
          <w:ilvl w:val="0"/>
          <w:numId w:val="3"/>
        </w:numPr>
        <w:spacing w:lineRule="auto" w:line="276"/>
        <w:jc w:val="both"/>
        <w:rPr>
          <w:rFonts w:eastAsia="Batang;바탕"/>
          <w:sz w:val="24"/>
          <w:szCs w:val="24"/>
        </w:rPr>
      </w:pPr>
      <w:r>
        <w:rPr>
          <w:rFonts w:eastAsia="Batang;바탕"/>
          <w:sz w:val="24"/>
          <w:szCs w:val="24"/>
        </w:rPr>
        <w:t>bambino/a certificato dal competente servizio di Assistenza sociale come appartenente a nucleo familiare con gravi problematiche di natura sociale, per il quale il competente servizio ritenga indispensabile per il bambino la frequenza al CRE;</w:t>
      </w:r>
    </w:p>
    <w:p>
      <w:pPr>
        <w:pStyle w:val="Normal"/>
        <w:numPr>
          <w:ilvl w:val="0"/>
          <w:numId w:val="3"/>
        </w:numPr>
        <w:spacing w:lineRule="auto" w:line="276"/>
        <w:jc w:val="both"/>
        <w:rPr/>
      </w:pPr>
      <w:r>
        <w:rPr>
          <w:rFonts w:eastAsia="Batang;바탕" w:cs="Times New Roman"/>
          <w:color w:val="000000"/>
          <w:sz w:val="24"/>
          <w:szCs w:val="24"/>
          <w:shd w:fill="auto" w:val="clear"/>
          <w:lang w:val="it-IT" w:eastAsia="zh-CN" w:bidi="ar-SA"/>
        </w:rPr>
        <w:t>bambini/e</w:t>
      </w:r>
      <w:r>
        <w:rPr>
          <w:rFonts w:eastAsia="Batang;바탕"/>
          <w:sz w:val="24"/>
          <w:szCs w:val="24"/>
          <w:shd w:fill="auto" w:val="clear"/>
        </w:rPr>
        <w:t xml:space="preserve"> aventi lo status di profugo/rifugiato </w:t>
      </w:r>
      <w:r>
        <w:rPr>
          <w:rFonts w:eastAsia="Batang;바탕"/>
          <w:sz w:val="24"/>
          <w:szCs w:val="24"/>
          <w:shd w:fill="auto" w:val="clear"/>
        </w:rPr>
        <w:t>ucraini;</w:t>
      </w:r>
    </w:p>
    <w:p>
      <w:pPr>
        <w:pStyle w:val="Normal"/>
        <w:numPr>
          <w:ilvl w:val="0"/>
          <w:numId w:val="3"/>
        </w:numPr>
        <w:spacing w:lineRule="auto" w:line="276"/>
        <w:jc w:val="both"/>
        <w:rPr/>
      </w:pPr>
      <w:r>
        <w:rPr>
          <w:rFonts w:eastAsia="Batang;바탕"/>
          <w:sz w:val="24"/>
          <w:szCs w:val="24"/>
          <w:shd w:fill="auto" w:val="clear"/>
        </w:rPr>
        <w:t xml:space="preserve">condizione economica più bassa, risultante dalla documentazione che attesti la Situazione economica equivalente (Dichiarazione sostitutiva unica D.S.U. e </w:t>
      </w:r>
      <w:r>
        <w:rPr>
          <w:rFonts w:eastAsia="Batang;바탕"/>
          <w:sz w:val="24"/>
          <w:szCs w:val="24"/>
          <w:u w:val="single"/>
          <w:shd w:fill="auto" w:val="clear"/>
        </w:rPr>
        <w:t>attestazione ISE/ISEE rilasciata nell’anno 202</w:t>
      </w:r>
      <w:r>
        <w:rPr>
          <w:rFonts w:eastAsia="Batang;바탕" w:cs="Times New Roman"/>
          <w:color w:val="000000"/>
          <w:sz w:val="24"/>
          <w:szCs w:val="24"/>
          <w:u w:val="single"/>
          <w:shd w:fill="auto" w:val="clear"/>
          <w:lang w:val="it-IT" w:eastAsia="zh-CN" w:bidi="ar-SA"/>
        </w:rPr>
        <w:t>4</w:t>
      </w:r>
      <w:r>
        <w:rPr>
          <w:rFonts w:eastAsia="Batang;바탕"/>
          <w:sz w:val="24"/>
          <w:szCs w:val="24"/>
          <w:shd w:fill="auto" w:val="clear"/>
        </w:rPr>
        <w:t xml:space="preserve"> per prestazioni sociali rivolte al minorenne ai sensi dell’art. 7 del DPCM n. 159 del 05.12.2013 e ss.mm.ii.);</w:t>
      </w:r>
    </w:p>
    <w:p>
      <w:pPr>
        <w:pStyle w:val="Normal"/>
        <w:numPr>
          <w:ilvl w:val="0"/>
          <w:numId w:val="3"/>
        </w:numPr>
        <w:spacing w:lineRule="auto" w:line="276"/>
        <w:jc w:val="both"/>
        <w:rPr>
          <w:rFonts w:eastAsia="Batang;바탕"/>
          <w:sz w:val="24"/>
          <w:szCs w:val="24"/>
          <w:shd w:fill="auto" w:val="clear"/>
        </w:rPr>
      </w:pPr>
      <w:r>
        <w:rPr>
          <w:rFonts w:eastAsia="Batang;바탕"/>
          <w:sz w:val="24"/>
          <w:szCs w:val="24"/>
          <w:shd w:fill="auto" w:val="clear"/>
        </w:rPr>
        <w:t>durata del servizio richiesto (preferenza accordata per richieste di maggiore durata);</w:t>
      </w:r>
    </w:p>
    <w:p>
      <w:pPr>
        <w:pStyle w:val="Normal"/>
        <w:numPr>
          <w:ilvl w:val="0"/>
          <w:numId w:val="3"/>
        </w:numPr>
        <w:spacing w:lineRule="auto" w:line="276"/>
        <w:jc w:val="both"/>
        <w:rPr>
          <w:rFonts w:eastAsia="Batang;바탕"/>
          <w:sz w:val="24"/>
          <w:szCs w:val="24"/>
          <w:shd w:fill="auto" w:val="clear"/>
        </w:rPr>
      </w:pPr>
      <w:r>
        <w:rPr>
          <w:rFonts w:eastAsia="Batang;바탕"/>
          <w:sz w:val="24"/>
          <w:szCs w:val="24"/>
          <w:shd w:fill="auto" w:val="clear"/>
        </w:rPr>
        <w:t>sorteggio.</w:t>
      </w:r>
    </w:p>
    <w:p>
      <w:pPr>
        <w:pStyle w:val="Normal"/>
        <w:spacing w:lineRule="auto" w:line="276" w:before="120" w:after="0"/>
        <w:jc w:val="both"/>
        <w:rPr/>
      </w:pPr>
      <w:r>
        <w:rPr>
          <w:rFonts w:eastAsia="Batang;바탕"/>
          <w:sz w:val="24"/>
          <w:szCs w:val="24"/>
          <w:shd w:fill="auto" w:val="clear"/>
        </w:rPr>
        <w:t xml:space="preserve">Resta inteso che </w:t>
      </w:r>
      <w:r>
        <w:rPr>
          <w:rFonts w:eastAsia="Batang;바탕"/>
          <w:sz w:val="24"/>
          <w:szCs w:val="24"/>
          <w:shd w:fill="auto" w:val="clear"/>
        </w:rPr>
        <w:t>nel caso in cui le domande pervenute nei termini aventi I requisiti per l’accoglimento superino i posti disponibili,</w:t>
      </w:r>
      <w:r>
        <w:rPr>
          <w:rFonts w:eastAsia="Batang;바탕"/>
          <w:sz w:val="24"/>
          <w:szCs w:val="24"/>
          <w:shd w:fill="auto" w:val="clear"/>
        </w:rPr>
        <w:t xml:space="preserve"> la graduatoria verrà formata sull</w:t>
      </w:r>
      <w:r>
        <w:rPr>
          <w:rFonts w:eastAsia="Batang;바탕"/>
          <w:sz w:val="24"/>
          <w:szCs w:val="24"/>
        </w:rPr>
        <w:t>a scorta della documentazione presentata (in particolare della Dichiarazione Sostitutiva Unica – D.S.U. – e attestazione ISE/ISEE)</w:t>
      </w:r>
      <w:r>
        <w:rPr>
          <w:rFonts w:eastAsia="Batang;바탕"/>
          <w:sz w:val="24"/>
          <w:szCs w:val="24"/>
          <w:shd w:fill="auto" w:val="clear"/>
        </w:rPr>
        <w:t xml:space="preserve">, restando preclusa la possibilità di integrazioni post scadenza termini – </w:t>
      </w:r>
      <w:r>
        <w:rPr>
          <w:rFonts w:eastAsia="Batang;바탕"/>
          <w:b/>
          <w:bCs/>
          <w:sz w:val="24"/>
          <w:szCs w:val="24"/>
          <w:shd w:fill="auto" w:val="clear"/>
        </w:rPr>
        <w:t>30 Aprile</w:t>
      </w:r>
      <w:r>
        <w:rPr>
          <w:rFonts w:eastAsia="Batang;바탕" w:cs="Times New Roman"/>
          <w:b/>
          <w:bCs/>
          <w:color w:val="000000"/>
          <w:sz w:val="24"/>
          <w:szCs w:val="24"/>
          <w:shd w:fill="auto" w:val="clear"/>
          <w:lang w:val="it-IT" w:eastAsia="zh-CN" w:bidi="ar-SA"/>
        </w:rPr>
        <w:t xml:space="preserve"> 2024.</w:t>
      </w:r>
    </w:p>
    <w:p>
      <w:pPr>
        <w:pStyle w:val="Normal"/>
        <w:spacing w:lineRule="auto" w:line="276"/>
        <w:jc w:val="both"/>
        <w:rPr>
          <w:rFonts w:eastAsia="Batang;바탕"/>
          <w:sz w:val="24"/>
          <w:szCs w:val="24"/>
        </w:rPr>
      </w:pPr>
      <w:r>
        <w:rPr>
          <w:rFonts w:eastAsia="Batang;바탕"/>
          <w:sz w:val="24"/>
          <w:szCs w:val="24"/>
        </w:rPr>
        <w:t>Sulle D.S.U. presentate verranno disposti controlli previsti dal vigente Regolamento Comunale, condotti anche con l’ausilio della Guardia di Finanza in virtù del Protocollo d’intesa approvato con deliberazione della Giunta comunale n. 413 del 10/11/2011.</w:t>
      </w:r>
    </w:p>
    <w:p>
      <w:pPr>
        <w:pStyle w:val="Normal"/>
        <w:spacing w:lineRule="auto" w:line="276"/>
        <w:jc w:val="both"/>
        <w:rPr>
          <w:rFonts w:eastAsia="Batang;바탕"/>
          <w:sz w:val="24"/>
          <w:szCs w:val="24"/>
        </w:rPr>
      </w:pPr>
      <w:r>
        <w:rPr>
          <w:rFonts w:eastAsia="Batang;바탕"/>
          <w:sz w:val="24"/>
          <w:szCs w:val="24"/>
        </w:rPr>
      </w:r>
    </w:p>
    <w:p>
      <w:pPr>
        <w:pStyle w:val="Normal"/>
        <w:spacing w:lineRule="auto" w:line="276"/>
        <w:jc w:val="both"/>
        <w:rPr>
          <w:rFonts w:eastAsia="Batang;바탕"/>
          <w:b/>
          <w:sz w:val="24"/>
          <w:szCs w:val="24"/>
          <w:u w:val="double"/>
          <w:shd w:fill="auto" w:val="clear"/>
        </w:rPr>
      </w:pPr>
      <w:r>
        <w:rPr>
          <w:rFonts w:eastAsia="Batang;바탕"/>
          <w:b/>
          <w:sz w:val="24"/>
          <w:szCs w:val="24"/>
          <w:u w:val="double"/>
          <w:shd w:fill="auto" w:val="clear"/>
        </w:rPr>
        <w:t>Art. 6 Utilizzo del servizio</w:t>
      </w:r>
    </w:p>
    <w:p>
      <w:pPr>
        <w:pStyle w:val="Normal"/>
        <w:spacing w:lineRule="auto" w:line="276"/>
        <w:jc w:val="both"/>
        <w:rPr/>
      </w:pPr>
      <w:r>
        <w:rPr/>
      </w:r>
    </w:p>
    <w:p>
      <w:pPr>
        <w:pStyle w:val="Normal"/>
        <w:spacing w:lineRule="auto" w:line="276"/>
        <w:jc w:val="both"/>
        <w:rPr/>
      </w:pPr>
      <w:r>
        <w:rPr>
          <w:rFonts w:eastAsia="Batang;바탕"/>
          <w:sz w:val="24"/>
          <w:szCs w:val="24"/>
          <w:shd w:fill="auto" w:val="clear"/>
        </w:rPr>
        <w:t xml:space="preserve">E’ possibile richiedere l’iscrizione ai Centri Ricreativi Estivi </w:t>
      </w:r>
      <w:r>
        <w:rPr>
          <w:rFonts w:eastAsia="Batang;바탕"/>
          <w:sz w:val="24"/>
          <w:szCs w:val="24"/>
          <w:shd w:fill="auto" w:val="clear"/>
        </w:rPr>
        <w:t>Comunali</w:t>
      </w:r>
      <w:r>
        <w:rPr>
          <w:rFonts w:eastAsia="Batang;바탕"/>
          <w:sz w:val="24"/>
          <w:szCs w:val="24"/>
          <w:shd w:fill="auto" w:val="clear"/>
        </w:rPr>
        <w:t xml:space="preserve"> per entrambi i mesi di luglio e agosto, per</w:t>
      </w:r>
      <w:r>
        <w:rPr>
          <w:rFonts w:eastAsia="Batang;바탕"/>
          <w:b/>
          <w:sz w:val="24"/>
          <w:szCs w:val="24"/>
          <w:shd w:fill="auto" w:val="clear"/>
        </w:rPr>
        <w:t xml:space="preserve"> </w:t>
      </w:r>
      <w:r>
        <w:rPr>
          <w:rFonts w:eastAsia="Batang;바탕"/>
          <w:sz w:val="24"/>
          <w:szCs w:val="24"/>
          <w:shd w:fill="auto" w:val="clear"/>
        </w:rPr>
        <w:t>il solo mese di luglio o per il solo mese di agosto, oppure per n. 2 settimane anche non consecutive purché all’interno dello stesso mese solare.</w:t>
      </w:r>
    </w:p>
    <w:p>
      <w:pPr>
        <w:pStyle w:val="Normal"/>
        <w:spacing w:lineRule="auto" w:line="276"/>
        <w:jc w:val="both"/>
        <w:rPr/>
      </w:pPr>
      <w:r>
        <w:rPr>
          <w:rFonts w:eastAsia="Batang;바탕"/>
          <w:b/>
          <w:sz w:val="24"/>
          <w:szCs w:val="24"/>
          <w:shd w:fill="auto" w:val="clear"/>
        </w:rPr>
        <w:t xml:space="preserve">In caso di graduatoria di cui al punto </w:t>
      </w:r>
      <w:r>
        <w:rPr>
          <w:rFonts w:eastAsia="Batang;바탕" w:cs="Times New Roman"/>
          <w:b/>
          <w:color w:val="000000"/>
          <w:sz w:val="24"/>
          <w:szCs w:val="24"/>
          <w:shd w:fill="auto" w:val="clear"/>
          <w:lang w:val="it-IT" w:eastAsia="zh-CN" w:bidi="ar-SA"/>
        </w:rPr>
        <w:t>5</w:t>
      </w:r>
      <w:r>
        <w:rPr>
          <w:rFonts w:eastAsia="Batang;바탕"/>
          <w:b/>
          <w:sz w:val="24"/>
          <w:szCs w:val="24"/>
          <w:shd w:fill="auto" w:val="clear"/>
        </w:rPr>
        <w:t xml:space="preserve"> dell’art 5, la preferenza è accordata in prima battuta</w:t>
      </w:r>
      <w:r>
        <w:rPr>
          <w:rFonts w:eastAsia="Batang;바탕"/>
          <w:b/>
          <w:sz w:val="24"/>
          <w:szCs w:val="24"/>
        </w:rPr>
        <w:t xml:space="preserve"> alle domande di iscrizione avanzate per entrambi i mesi di presenza del servizio (luglio e agosto), in seconda battuta per un solo mese (luglio o agosto) ed infine per 2 settimane </w:t>
      </w:r>
      <w:r>
        <w:rPr>
          <w:rFonts w:eastAsia="Batang;바탕"/>
          <w:b/>
          <w:sz w:val="24"/>
          <w:szCs w:val="24"/>
          <w:shd w:fill="auto" w:val="clear"/>
        </w:rPr>
        <w:t>anche non consecutive nello stesso mese.</w:t>
      </w:r>
    </w:p>
    <w:p>
      <w:pPr>
        <w:pStyle w:val="Normal"/>
        <w:spacing w:lineRule="auto" w:line="276"/>
        <w:jc w:val="both"/>
        <w:rPr/>
      </w:pPr>
      <w:r>
        <w:rPr>
          <w:rFonts w:eastAsia="Batang;바탕"/>
          <w:sz w:val="24"/>
          <w:szCs w:val="24"/>
        </w:rPr>
        <w:t xml:space="preserve">Viene evidenziato che la scelta del periodo di frequenza (due mesi, un mese o due settimane nello stesso mese) deve essere inderogabilmente indicata nella domanda da presentare, come sopra riferito, esclusivamente in modalità on line </w:t>
      </w:r>
      <w:r>
        <w:rPr>
          <w:rFonts w:eastAsia="Batang;바탕"/>
          <w:b/>
          <w:bCs/>
          <w:i/>
          <w:iCs/>
          <w:sz w:val="24"/>
          <w:szCs w:val="24"/>
          <w:u w:val="none"/>
        </w:rPr>
        <w:t>entro il 30</w:t>
      </w:r>
      <w:r>
        <w:rPr>
          <w:rFonts w:eastAsia="Batang;바탕" w:cs="Times New Roman"/>
          <w:b/>
          <w:bCs/>
          <w:i/>
          <w:iCs/>
          <w:color w:val="auto"/>
          <w:sz w:val="24"/>
          <w:szCs w:val="24"/>
          <w:u w:val="none"/>
          <w:lang w:val="it-IT" w:eastAsia="zh-CN" w:bidi="ar-SA"/>
        </w:rPr>
        <w:t>/04/2024</w:t>
      </w:r>
      <w:r>
        <w:rPr>
          <w:rFonts w:eastAsia="Batang;바탕"/>
          <w:b/>
          <w:bCs/>
          <w:i/>
          <w:iCs/>
          <w:sz w:val="24"/>
          <w:szCs w:val="24"/>
          <w:u w:val="none"/>
        </w:rPr>
        <w:t>,</w:t>
      </w:r>
      <w:r>
        <w:rPr>
          <w:rFonts w:eastAsia="Batang;바탕"/>
          <w:sz w:val="24"/>
          <w:szCs w:val="24"/>
        </w:rPr>
        <w:t xml:space="preserve"> </w:t>
      </w:r>
      <w:r>
        <w:rPr>
          <w:rFonts w:eastAsia="Batang;바탕"/>
          <w:b/>
          <w:bCs/>
          <w:sz w:val="24"/>
          <w:szCs w:val="24"/>
          <w:u w:val="single"/>
          <w:shd w:fill="auto" w:val="clear"/>
        </w:rPr>
        <w:t>restando preclusa la possibilità di chiedere variazioni di frequenza a servizio già avviato.</w:t>
      </w:r>
    </w:p>
    <w:p>
      <w:pPr>
        <w:pStyle w:val="Normal"/>
        <w:spacing w:lineRule="auto" w:line="276"/>
        <w:jc w:val="both"/>
        <w:rPr>
          <w:rFonts w:eastAsia="Batang;바탕"/>
          <w:sz w:val="24"/>
          <w:szCs w:val="24"/>
        </w:rPr>
      </w:pPr>
      <w:r>
        <w:rPr>
          <w:rFonts w:eastAsia="Batang;바탕"/>
          <w:sz w:val="24"/>
          <w:szCs w:val="24"/>
        </w:rPr>
      </w:r>
    </w:p>
    <w:p>
      <w:pPr>
        <w:pStyle w:val="Normal"/>
        <w:spacing w:lineRule="auto" w:line="276"/>
        <w:jc w:val="both"/>
        <w:rPr>
          <w:rFonts w:eastAsia="Batang;바탕"/>
          <w:b/>
          <w:sz w:val="24"/>
          <w:szCs w:val="24"/>
          <w:u w:val="double"/>
        </w:rPr>
      </w:pPr>
      <w:r>
        <w:rPr/>
      </w:r>
    </w:p>
    <w:p>
      <w:pPr>
        <w:pStyle w:val="Normal"/>
        <w:spacing w:lineRule="auto" w:line="276"/>
        <w:jc w:val="both"/>
        <w:rPr>
          <w:rFonts w:eastAsia="Batang;바탕"/>
          <w:b/>
          <w:sz w:val="24"/>
          <w:szCs w:val="24"/>
          <w:u w:val="double"/>
        </w:rPr>
      </w:pPr>
      <w:r>
        <w:rPr/>
      </w:r>
    </w:p>
    <w:p>
      <w:pPr>
        <w:pStyle w:val="Normal"/>
        <w:spacing w:lineRule="auto" w:line="276"/>
        <w:jc w:val="both"/>
        <w:rPr>
          <w:rFonts w:eastAsia="Batang;바탕"/>
          <w:b/>
          <w:sz w:val="24"/>
          <w:szCs w:val="24"/>
          <w:u w:val="double"/>
        </w:rPr>
      </w:pPr>
      <w:r>
        <w:rPr/>
      </w:r>
    </w:p>
    <w:p>
      <w:pPr>
        <w:pStyle w:val="Normal"/>
        <w:spacing w:lineRule="auto" w:line="276"/>
        <w:jc w:val="both"/>
        <w:rPr>
          <w:rFonts w:eastAsia="Batang;바탕"/>
          <w:b/>
          <w:sz w:val="24"/>
          <w:szCs w:val="24"/>
          <w:u w:val="double"/>
        </w:rPr>
      </w:pPr>
      <w:r>
        <w:rPr>
          <w:rFonts w:eastAsia="Batang;바탕"/>
          <w:b/>
          <w:sz w:val="24"/>
          <w:szCs w:val="24"/>
          <w:u w:val="double"/>
        </w:rPr>
        <w:t>Art. 7 Attestazioni di attività lavorativa</w:t>
      </w:r>
    </w:p>
    <w:p>
      <w:pPr>
        <w:pStyle w:val="Normal"/>
        <w:spacing w:lineRule="auto" w:line="276"/>
        <w:jc w:val="both"/>
        <w:rPr>
          <w:rFonts w:eastAsia="Batang;바탕"/>
          <w:b/>
          <w:sz w:val="24"/>
          <w:szCs w:val="24"/>
          <w:u w:val="double"/>
        </w:rPr>
      </w:pPr>
      <w:r>
        <w:rPr>
          <w:rFonts w:eastAsia="Batang;바탕"/>
          <w:b/>
          <w:sz w:val="24"/>
          <w:szCs w:val="24"/>
          <w:u w:val="double"/>
        </w:rPr>
      </w:r>
    </w:p>
    <w:p>
      <w:pPr>
        <w:pStyle w:val="Normal"/>
        <w:spacing w:lineRule="auto" w:line="276"/>
        <w:jc w:val="both"/>
        <w:rPr/>
      </w:pPr>
      <w:r>
        <w:rPr>
          <w:rFonts w:eastAsia="Calibri" w:cs="Times New Roman"/>
          <w:sz w:val="24"/>
          <w:szCs w:val="24"/>
          <w:lang w:eastAsia="en-US"/>
        </w:rPr>
        <w:t>Dovrà essere obbligatoriamente presentat</w:t>
      </w:r>
      <w:r>
        <w:rPr>
          <w:rFonts w:eastAsia="Calibri" w:cs="Times New Roman"/>
          <w:sz w:val="24"/>
          <w:szCs w:val="24"/>
          <w:lang w:eastAsia="en-US"/>
        </w:rPr>
        <w:t>a</w:t>
      </w:r>
      <w:r>
        <w:rPr>
          <w:rFonts w:eastAsia="Calibri" w:cs="Times New Roman"/>
          <w:sz w:val="24"/>
          <w:szCs w:val="24"/>
          <w:lang w:eastAsia="en-US"/>
        </w:rPr>
        <w:t xml:space="preserve"> insieme alla domanda</w:t>
      </w:r>
      <w:r>
        <w:rPr>
          <w:rFonts w:eastAsia="Calibri" w:cs="Times New Roman"/>
          <w:sz w:val="24"/>
          <w:szCs w:val="24"/>
          <w:shd w:fill="auto" w:val="clear"/>
          <w:lang w:eastAsia="en-US"/>
        </w:rPr>
        <w:t>,</w:t>
      </w:r>
      <w:r>
        <w:rPr>
          <w:rFonts w:eastAsia="Calibri" w:cs="Times New Roman"/>
          <w:b/>
          <w:bCs/>
          <w:sz w:val="24"/>
          <w:szCs w:val="24"/>
          <w:shd w:fill="auto" w:val="clear"/>
          <w:lang w:eastAsia="en-US"/>
        </w:rPr>
        <w:t xml:space="preserve"> </w:t>
      </w:r>
      <w:r>
        <w:rPr>
          <w:rFonts w:eastAsia="Calibri" w:cs="Times New Roman"/>
          <w:b/>
          <w:bCs/>
          <w:color w:val="000000"/>
          <w:sz w:val="24"/>
          <w:szCs w:val="24"/>
          <w:shd w:fill="auto" w:val="clear"/>
          <w:lang w:val="it-IT" w:eastAsia="en-US" w:bidi="ar-SA"/>
        </w:rPr>
        <w:t>entro</w:t>
      </w:r>
      <w:r>
        <w:rPr>
          <w:rFonts w:eastAsia="Batang;바탕" w:cs="Times New Roman"/>
          <w:b/>
          <w:bCs/>
          <w:color w:val="000000"/>
          <w:sz w:val="24"/>
          <w:szCs w:val="24"/>
          <w:shd w:fill="auto" w:val="clear"/>
          <w:lang w:val="it-IT" w:eastAsia="en-US" w:bidi="ar-SA"/>
        </w:rPr>
        <w:t xml:space="preserve"> la scadenza del bando </w:t>
      </w:r>
      <w:r>
        <w:rPr>
          <w:rFonts w:eastAsia="Calibri" w:cs="Times New Roman"/>
          <w:b/>
          <w:bCs/>
          <w:color w:val="000000"/>
          <w:sz w:val="24"/>
          <w:szCs w:val="24"/>
          <w:shd w:fill="auto" w:val="clear"/>
          <w:lang w:val="it-IT" w:eastAsia="en-US" w:bidi="ar-SA"/>
        </w:rPr>
        <w:t xml:space="preserve"> martedì 30 Aprile 2024</w:t>
      </w:r>
      <w:r>
        <w:rPr>
          <w:rFonts w:eastAsia="Calibri" w:cs="Times New Roman"/>
          <w:b/>
          <w:bCs/>
          <w:sz w:val="24"/>
          <w:szCs w:val="24"/>
          <w:shd w:fill="auto" w:val="clear"/>
          <w:lang w:eastAsia="en-US"/>
        </w:rPr>
        <w:t xml:space="preserve">, </w:t>
      </w:r>
      <w:r>
        <w:rPr>
          <w:rFonts w:cs="Times New Roman"/>
          <w:sz w:val="24"/>
          <w:szCs w:val="24"/>
          <w:shd w:fill="auto" w:val="clear"/>
          <w:lang w:eastAsia="en-US"/>
        </w:rPr>
        <w:t>idonea certificazione/documentazione att</w:t>
      </w:r>
      <w:r>
        <w:rPr>
          <w:rFonts w:cs="Times New Roman"/>
          <w:sz w:val="24"/>
          <w:szCs w:val="24"/>
          <w:lang w:eastAsia="en-US"/>
        </w:rPr>
        <w:t xml:space="preserve">estante lo stato occupazionale di entrambi i genitori, ovvero: </w:t>
      </w:r>
    </w:p>
    <w:p>
      <w:pPr>
        <w:pStyle w:val="Normal"/>
        <w:numPr>
          <w:ilvl w:val="0"/>
          <w:numId w:val="4"/>
        </w:numPr>
        <w:spacing w:lineRule="auto" w:line="276"/>
        <w:jc w:val="both"/>
        <w:rPr/>
      </w:pPr>
      <w:r>
        <w:rPr>
          <w:rFonts w:cs="Times New Roman"/>
          <w:sz w:val="24"/>
          <w:szCs w:val="24"/>
          <w:lang w:eastAsia="en-US"/>
        </w:rPr>
        <w:t xml:space="preserve">se subordinati o para-subordinati: certificazione del datore di lavoro </w:t>
      </w:r>
      <w:r>
        <w:rPr>
          <w:rFonts w:eastAsia="Batang;바탕" w:cs="Times New Roman"/>
          <w:sz w:val="24"/>
          <w:szCs w:val="24"/>
          <w:lang w:eastAsia="en-US"/>
        </w:rPr>
        <w:t xml:space="preserve">su carta intestata e firmata dal titolare, </w:t>
      </w:r>
      <w:r>
        <w:rPr>
          <w:rFonts w:eastAsia="Batang;바탕" w:cs="Times New Roman"/>
          <w:color w:val="auto"/>
          <w:sz w:val="24"/>
          <w:szCs w:val="24"/>
          <w:lang w:val="it-IT" w:eastAsia="en-US" w:bidi="ar-SA"/>
        </w:rPr>
        <w:t>attestante</w:t>
      </w:r>
      <w:r>
        <w:rPr>
          <w:rFonts w:eastAsia="Batang;바탕" w:cs="Times New Roman"/>
          <w:sz w:val="24"/>
          <w:szCs w:val="24"/>
          <w:lang w:eastAsia="en-US"/>
        </w:rPr>
        <w:t xml:space="preserve"> il periodo di lavoro del dipendente</w:t>
      </w:r>
      <w:r>
        <w:rPr>
          <w:rFonts w:cs="Times New Roman"/>
          <w:sz w:val="24"/>
          <w:szCs w:val="24"/>
          <w:lang w:eastAsia="en-US"/>
        </w:rPr>
        <w:t xml:space="preserve"> e/o produzione del contratto di lavoro; </w:t>
      </w:r>
    </w:p>
    <w:p>
      <w:pPr>
        <w:pStyle w:val="Normal"/>
        <w:numPr>
          <w:ilvl w:val="0"/>
          <w:numId w:val="4"/>
        </w:numPr>
        <w:spacing w:lineRule="auto" w:line="276" w:before="0" w:after="0"/>
        <w:contextualSpacing/>
        <w:jc w:val="both"/>
        <w:rPr/>
      </w:pPr>
      <w:r>
        <w:rPr>
          <w:rFonts w:cs="Times New Roman"/>
          <w:sz w:val="24"/>
          <w:szCs w:val="24"/>
          <w:lang w:eastAsia="en-US"/>
        </w:rPr>
        <w:t>se autonomi:</w:t>
      </w:r>
      <w:r>
        <w:rPr>
          <w:rFonts w:cs="Times New Roman"/>
          <w:sz w:val="24"/>
          <w:szCs w:val="24"/>
          <w:shd w:fill="auto" w:val="clear"/>
          <w:lang w:eastAsia="en-US"/>
        </w:rPr>
        <w:t xml:space="preserve"> </w:t>
      </w:r>
      <w:r>
        <w:rPr>
          <w:rFonts w:eastAsia="Batang;바탕" w:cs="Times New Roman"/>
          <w:sz w:val="24"/>
          <w:szCs w:val="24"/>
          <w:shd w:fill="auto" w:val="clear"/>
          <w:lang w:eastAsia="en-US"/>
        </w:rPr>
        <w:t xml:space="preserve">auto-dichiarazione (nella formula stabilita dalla vigente legge) </w:t>
      </w:r>
      <w:r>
        <w:rPr>
          <w:rFonts w:eastAsia="Batang;바탕" w:cs="Times New Roman"/>
          <w:color w:val="000000"/>
          <w:sz w:val="24"/>
          <w:szCs w:val="24"/>
          <w:shd w:fill="auto" w:val="clear"/>
          <w:lang w:val="it-IT" w:eastAsia="en-US" w:bidi="ar-SA"/>
        </w:rPr>
        <w:t>con indicazione</w:t>
      </w:r>
      <w:r>
        <w:rPr>
          <w:rFonts w:eastAsia="Batang;바탕" w:cs="Times New Roman"/>
          <w:sz w:val="24"/>
          <w:szCs w:val="24"/>
          <w:shd w:fill="auto" w:val="clear"/>
          <w:lang w:eastAsia="en-US"/>
        </w:rPr>
        <w:t xml:space="preserve"> degli estremi della propria attività (ai fini della verifica presso gli Istituti preposti) e attestante l’attività lavorativa nel periodo richiesto per la frequenza al C</w:t>
      </w:r>
      <w:r>
        <w:rPr>
          <w:rFonts w:eastAsia="Batang;바탕" w:cs="Times New Roman"/>
          <w:color w:val="000000"/>
          <w:sz w:val="24"/>
          <w:szCs w:val="24"/>
          <w:shd w:fill="auto" w:val="clear"/>
          <w:lang w:val="it-IT" w:eastAsia="en-US" w:bidi="ar-SA"/>
        </w:rPr>
        <w:t>entro estivo</w:t>
      </w:r>
      <w:r>
        <w:rPr>
          <w:rFonts w:eastAsia="Batang;바탕" w:cs="Times New Roman"/>
          <w:sz w:val="24"/>
          <w:szCs w:val="24"/>
          <w:shd w:fill="auto" w:val="clear"/>
          <w:lang w:eastAsia="en-US"/>
        </w:rPr>
        <w:t xml:space="preserve"> e </w:t>
      </w:r>
      <w:r>
        <w:rPr>
          <w:rFonts w:cs="Times New Roman"/>
          <w:sz w:val="24"/>
          <w:szCs w:val="24"/>
          <w:shd w:fill="auto" w:val="clear"/>
          <w:lang w:eastAsia="en-US"/>
        </w:rPr>
        <w:t xml:space="preserve">produzione di copia iscrizione camera di commercio, </w:t>
      </w:r>
    </w:p>
    <w:p>
      <w:pPr>
        <w:pStyle w:val="Normal"/>
        <w:numPr>
          <w:ilvl w:val="0"/>
          <w:numId w:val="4"/>
        </w:numPr>
        <w:spacing w:lineRule="auto" w:line="276" w:before="0" w:after="0"/>
        <w:contextualSpacing/>
        <w:jc w:val="both"/>
        <w:rPr>
          <w:rFonts w:ascii="Times New Roman" w:hAnsi="Times New Roman" w:cs="Times New Roman"/>
          <w:sz w:val="24"/>
          <w:szCs w:val="24"/>
          <w:lang w:eastAsia="en-US"/>
        </w:rPr>
      </w:pPr>
      <w:r>
        <w:rPr>
          <w:rFonts w:cs="Times New Roman"/>
          <w:sz w:val="24"/>
          <w:szCs w:val="24"/>
          <w:lang w:eastAsia="en-US"/>
        </w:rPr>
        <w:t>se collaboratori familiari: certificazione del datore di lavoro e copia versamenti contributivi Inps</w:t>
      </w:r>
    </w:p>
    <w:p>
      <w:pPr>
        <w:pStyle w:val="Normal"/>
        <w:spacing w:lineRule="auto" w:line="276" w:before="0" w:after="0"/>
        <w:contextualSpacing/>
        <w:jc w:val="both"/>
        <w:rPr>
          <w:rFonts w:ascii="Times New Roman" w:hAnsi="Times New Roman" w:eastAsia="Batang;바탕" w:cs="Times New Roman"/>
          <w:b w:val="false"/>
          <w:bCs w:val="false"/>
          <w:color w:val="auto"/>
          <w:sz w:val="24"/>
          <w:szCs w:val="24"/>
          <w:highlight w:val="none"/>
          <w:u w:val="none"/>
          <w:shd w:fill="FFFF00" w:val="clear"/>
          <w:lang w:eastAsia="en-US"/>
        </w:rPr>
      </w:pPr>
      <w:r>
        <w:rPr>
          <w:rFonts w:eastAsia="Batang;바탕" w:cs="Times New Roman"/>
          <w:b w:val="false"/>
          <w:bCs w:val="false"/>
          <w:color w:val="000000"/>
          <w:sz w:val="24"/>
          <w:szCs w:val="24"/>
          <w:u w:val="none"/>
          <w:shd w:fill="FFFF00" w:val="clear"/>
          <w:lang w:eastAsia="en-US"/>
        </w:rPr>
      </w:r>
    </w:p>
    <w:p>
      <w:pPr>
        <w:pStyle w:val="Normal"/>
        <w:spacing w:lineRule="auto" w:line="276"/>
        <w:jc w:val="both"/>
        <w:rPr/>
      </w:pPr>
      <w:r>
        <w:rPr>
          <w:rFonts w:eastAsia="Batang;바탕" w:cs="Times New Roman"/>
          <w:i w:val="false"/>
          <w:iCs w:val="false"/>
          <w:color w:val="000000"/>
          <w:sz w:val="24"/>
          <w:szCs w:val="24"/>
          <w:shd w:fill="auto" w:val="clear"/>
          <w:lang w:val="it-IT" w:eastAsia="zh-CN" w:bidi="ar-SA"/>
        </w:rPr>
        <w:t xml:space="preserve">Qualora non sia possibile presentare entro i termini di scadenza del bando prova documentale sulla condizione di lavoratore, i </w:t>
      </w:r>
      <w:r>
        <w:rPr>
          <w:rFonts w:eastAsia="Batang;바탕"/>
          <w:i w:val="false"/>
          <w:iCs w:val="false"/>
          <w:sz w:val="24"/>
          <w:szCs w:val="24"/>
          <w:shd w:fill="auto" w:val="clear"/>
        </w:rPr>
        <w:t xml:space="preserve">genitori impiegati in attività di </w:t>
      </w:r>
      <w:r>
        <w:rPr>
          <w:rFonts w:eastAsia="Batang;바탕"/>
          <w:b/>
          <w:bCs/>
          <w:i w:val="false"/>
          <w:iCs w:val="false"/>
          <w:sz w:val="24"/>
          <w:szCs w:val="24"/>
          <w:shd w:fill="auto" w:val="clear"/>
        </w:rPr>
        <w:t>lavoro stagionali</w:t>
      </w:r>
      <w:r>
        <w:rPr>
          <w:rFonts w:eastAsia="Batang;바탕"/>
          <w:i w:val="false"/>
          <w:iCs w:val="false"/>
          <w:sz w:val="24"/>
          <w:szCs w:val="24"/>
          <w:shd w:fill="auto" w:val="clear"/>
        </w:rPr>
        <w:t xml:space="preserve"> hanno l’obbligo di inoltrar</w:t>
      </w:r>
      <w:r>
        <w:rPr>
          <w:rFonts w:eastAsia="Batang;바탕" w:cs="Times New Roman"/>
          <w:i w:val="false"/>
          <w:iCs w:val="false"/>
          <w:color w:val="000000"/>
          <w:sz w:val="24"/>
          <w:szCs w:val="24"/>
          <w:shd w:fill="auto" w:val="clear"/>
          <w:lang w:val="it-IT" w:eastAsia="zh-CN" w:bidi="ar-SA"/>
        </w:rPr>
        <w:t>e</w:t>
      </w:r>
      <w:r>
        <w:rPr>
          <w:rFonts w:eastAsia="Batang;바탕"/>
          <w:b/>
          <w:bCs/>
          <w:i w:val="false"/>
          <w:iCs w:val="false"/>
          <w:sz w:val="24"/>
          <w:szCs w:val="24"/>
          <w:shd w:fill="auto" w:val="clear"/>
        </w:rPr>
        <w:t xml:space="preserve"> </w:t>
      </w:r>
      <w:r>
        <w:rPr>
          <w:rFonts w:eastAsia="Batang;바탕"/>
          <w:b/>
          <w:bCs/>
          <w:i w:val="false"/>
          <w:iCs w:val="false"/>
          <w:sz w:val="24"/>
          <w:szCs w:val="24"/>
          <w:u w:val="single"/>
          <w:shd w:fill="auto" w:val="clear"/>
        </w:rPr>
        <w:t>entro e non oltre il 31 Maggio 2024</w:t>
      </w:r>
      <w:r>
        <w:rPr>
          <w:rFonts w:eastAsia="Batang;바탕" w:cs="Times New Roman"/>
          <w:b/>
          <w:bCs/>
          <w:i w:val="false"/>
          <w:iCs w:val="false"/>
          <w:color w:val="000000"/>
          <w:sz w:val="24"/>
          <w:szCs w:val="24"/>
          <w:u w:val="single"/>
          <w:shd w:fill="auto" w:val="clear"/>
          <w:lang w:val="it-IT" w:eastAsia="zh-CN" w:bidi="ar-SA"/>
        </w:rPr>
        <w:t xml:space="preserve"> </w:t>
      </w:r>
      <w:r>
        <w:rPr>
          <w:rFonts w:eastAsia="Batang;바탕" w:cs="Times New Roman"/>
          <w:b w:val="false"/>
          <w:bCs w:val="false"/>
          <w:i w:val="false"/>
          <w:iCs w:val="false"/>
          <w:color w:val="000000"/>
          <w:sz w:val="24"/>
          <w:szCs w:val="24"/>
          <w:u w:val="none"/>
          <w:shd w:fill="auto" w:val="clear"/>
          <w:lang w:val="it-IT" w:eastAsia="zh-CN" w:bidi="ar-SA"/>
        </w:rPr>
        <w:t>una dichiarazioni della volo</w:t>
      </w:r>
      <w:r>
        <w:rPr>
          <w:rFonts w:eastAsia="Batang;바탕" w:cs="Times New Roman"/>
          <w:b w:val="false"/>
          <w:bCs w:val="false"/>
          <w:color w:val="000000"/>
          <w:sz w:val="24"/>
          <w:szCs w:val="24"/>
          <w:u w:val="none"/>
          <w:shd w:fill="auto" w:val="clear"/>
          <w:lang w:val="it-IT" w:eastAsia="zh-CN" w:bidi="ar-SA"/>
        </w:rPr>
        <w:t>ntà di assunzione sottoscritte da parte del datore di lavoro (promessa di lavoro)</w:t>
      </w:r>
      <w:r>
        <w:rPr>
          <w:rFonts w:eastAsia="Batang;바탕"/>
          <w:b/>
          <w:bCs/>
          <w:sz w:val="24"/>
          <w:szCs w:val="24"/>
          <w:shd w:fill="auto" w:val="clear"/>
        </w:rPr>
        <w:t xml:space="preserve"> </w:t>
      </w:r>
      <w:r>
        <w:rPr>
          <w:rFonts w:eastAsia="Batang;바탕"/>
          <w:b w:val="false"/>
          <w:bCs w:val="false"/>
          <w:sz w:val="24"/>
          <w:szCs w:val="24"/>
          <w:shd w:fill="auto" w:val="clear"/>
        </w:rPr>
        <w:t>al seguente indirizzo di posta elettronica: servizioscuola@comune.cesenatico.fc.it.</w:t>
      </w:r>
    </w:p>
    <w:p>
      <w:pPr>
        <w:pStyle w:val="Normal"/>
        <w:spacing w:lineRule="auto" w:line="276"/>
        <w:jc w:val="both"/>
        <w:rPr>
          <w:rFonts w:eastAsia="Batang;바탕"/>
          <w:sz w:val="24"/>
          <w:szCs w:val="24"/>
          <w:shd w:fill="auto" w:val="clear"/>
        </w:rPr>
      </w:pPr>
      <w:r>
        <w:rPr>
          <w:rFonts w:eastAsia="Batang;바탕"/>
          <w:sz w:val="24"/>
          <w:szCs w:val="24"/>
          <w:shd w:fill="auto" w:val="clear"/>
        </w:rPr>
      </w:r>
    </w:p>
    <w:p>
      <w:pPr>
        <w:pStyle w:val="Normal"/>
        <w:spacing w:lineRule="auto" w:line="276"/>
        <w:jc w:val="both"/>
        <w:rPr>
          <w:rFonts w:eastAsia="Batang;바탕"/>
          <w:sz w:val="24"/>
          <w:szCs w:val="24"/>
        </w:rPr>
      </w:pPr>
      <w:r>
        <w:rPr>
          <w:rFonts w:eastAsia="Batang;바탕"/>
          <w:sz w:val="24"/>
          <w:szCs w:val="24"/>
        </w:rPr>
        <w:t>Tutte le attestazioni di attività lavorativa di cui sopra saranno oggetto di verifica di veridicità da parte del Servizio comunale infanzia e scuola.</w:t>
      </w:r>
    </w:p>
    <w:p>
      <w:pPr>
        <w:pStyle w:val="Normal"/>
        <w:spacing w:lineRule="auto" w:line="276"/>
        <w:jc w:val="both"/>
        <w:rPr>
          <w:rFonts w:eastAsia="Batang;바탕"/>
          <w:b/>
          <w:sz w:val="24"/>
          <w:szCs w:val="24"/>
          <w:u w:val="double"/>
        </w:rPr>
      </w:pPr>
      <w:r>
        <w:rPr>
          <w:rFonts w:eastAsia="Batang;바탕"/>
          <w:b/>
          <w:sz w:val="24"/>
          <w:szCs w:val="24"/>
          <w:u w:val="double"/>
        </w:rPr>
      </w:r>
    </w:p>
    <w:p>
      <w:pPr>
        <w:pStyle w:val="Normal"/>
        <w:spacing w:lineRule="auto" w:line="276"/>
        <w:jc w:val="both"/>
        <w:rPr>
          <w:rFonts w:eastAsia="Batang;바탕"/>
          <w:b/>
          <w:sz w:val="24"/>
          <w:szCs w:val="24"/>
          <w:u w:val="double"/>
        </w:rPr>
      </w:pPr>
      <w:r>
        <w:rPr>
          <w:rFonts w:eastAsia="Batang;바탕"/>
          <w:b/>
          <w:sz w:val="24"/>
          <w:szCs w:val="24"/>
          <w:u w:val="double"/>
        </w:rPr>
        <w:t>Art. 8 Retta di frequenza</w:t>
      </w:r>
    </w:p>
    <w:p>
      <w:pPr>
        <w:pStyle w:val="Normal"/>
        <w:spacing w:lineRule="auto" w:line="276"/>
        <w:jc w:val="both"/>
        <w:rPr>
          <w:rFonts w:eastAsia="Batang;바탕"/>
          <w:b/>
          <w:sz w:val="24"/>
          <w:szCs w:val="24"/>
          <w:u w:val="double"/>
        </w:rPr>
      </w:pPr>
      <w:r>
        <w:rPr>
          <w:rFonts w:eastAsia="Batang;바탕"/>
          <w:b/>
          <w:sz w:val="24"/>
          <w:szCs w:val="24"/>
          <w:u w:val="double"/>
        </w:rPr>
      </w:r>
    </w:p>
    <w:p>
      <w:pPr>
        <w:pStyle w:val="Normal"/>
        <w:spacing w:lineRule="auto" w:line="276"/>
        <w:jc w:val="both"/>
        <w:rPr/>
      </w:pPr>
      <w:r>
        <w:rPr>
          <w:rFonts w:eastAsia="Batang;바탕"/>
          <w:sz w:val="24"/>
          <w:szCs w:val="24"/>
        </w:rPr>
        <w:t>Per usufruire del servizio dei centri ricreativi estivi comunali – estate 202</w:t>
      </w:r>
      <w:r>
        <w:rPr>
          <w:rFonts w:eastAsia="Batang;바탕" w:cs="Times New Roman"/>
          <w:color w:val="auto"/>
          <w:sz w:val="24"/>
          <w:szCs w:val="24"/>
          <w:lang w:val="it-IT" w:eastAsia="zh-CN" w:bidi="ar-SA"/>
        </w:rPr>
        <w:t>4</w:t>
      </w:r>
      <w:r>
        <w:rPr>
          <w:rFonts w:eastAsia="Batang;바탕"/>
          <w:sz w:val="24"/>
          <w:szCs w:val="24"/>
        </w:rPr>
        <w:t xml:space="preserve"> - è dovuto il pagamento di una </w:t>
      </w:r>
      <w:r>
        <w:rPr>
          <w:rFonts w:eastAsia="Batang;바탕"/>
          <w:sz w:val="24"/>
          <w:szCs w:val="24"/>
          <w:u w:val="single"/>
        </w:rPr>
        <w:t xml:space="preserve">retta mensile </w:t>
      </w:r>
      <w:r>
        <w:rPr>
          <w:rFonts w:eastAsia="Batang;바탕"/>
          <w:sz w:val="24"/>
          <w:szCs w:val="24"/>
        </w:rPr>
        <w:t>di frequenza così composta:</w:t>
      </w:r>
    </w:p>
    <w:p>
      <w:pPr>
        <w:pStyle w:val="Normal"/>
        <w:spacing w:lineRule="auto" w:line="276"/>
        <w:jc w:val="both"/>
        <w:rPr/>
      </w:pPr>
      <w:r>
        <w:rPr>
          <w:rFonts w:eastAsia="Batang;바탕"/>
          <w:sz w:val="24"/>
          <w:szCs w:val="24"/>
          <w:u w:val="single"/>
        </w:rPr>
        <w:t xml:space="preserve">quota fissa di </w:t>
      </w:r>
      <w:r>
        <w:rPr>
          <w:rFonts w:eastAsia="Batang;바탕"/>
          <w:b/>
          <w:sz w:val="24"/>
          <w:szCs w:val="24"/>
          <w:u w:val="single"/>
        </w:rPr>
        <w:t xml:space="preserve">€ </w:t>
      </w:r>
      <w:r>
        <w:rPr>
          <w:rFonts w:eastAsia="Batang;바탕" w:cs="Times New Roman"/>
          <w:b/>
          <w:sz w:val="24"/>
          <w:szCs w:val="24"/>
        </w:rPr>
        <w:t xml:space="preserve"> 264,34 </w:t>
      </w:r>
      <w:r>
        <w:rPr>
          <w:rFonts w:eastAsia="Batang;바탕"/>
          <w:sz w:val="24"/>
          <w:szCs w:val="24"/>
        </w:rPr>
        <w:t>(uguale per tutti)</w:t>
        <w:tab/>
        <w:tab/>
      </w:r>
    </w:p>
    <w:p>
      <w:pPr>
        <w:pStyle w:val="Normal"/>
        <w:spacing w:lineRule="auto" w:line="276"/>
        <w:jc w:val="both"/>
        <w:rPr>
          <w:rFonts w:eastAsia="Batang;바탕"/>
          <w:b/>
          <w:sz w:val="24"/>
          <w:szCs w:val="24"/>
        </w:rPr>
      </w:pPr>
      <w:r>
        <w:rPr>
          <w:rFonts w:eastAsia="Batang;바탕"/>
          <w:b/>
          <w:sz w:val="24"/>
          <w:szCs w:val="24"/>
        </w:rPr>
        <w:t>sommata a:</w:t>
        <w:tab/>
      </w:r>
    </w:p>
    <w:p>
      <w:pPr>
        <w:pStyle w:val="Normal"/>
        <w:spacing w:lineRule="auto" w:line="276"/>
        <w:jc w:val="both"/>
        <w:rPr/>
      </w:pPr>
      <w:r>
        <w:rPr>
          <w:rFonts w:eastAsia="Batang;바탕"/>
          <w:sz w:val="24"/>
          <w:szCs w:val="24"/>
          <w:u w:val="single"/>
        </w:rPr>
        <w:t xml:space="preserve">quota variabile </w:t>
      </w:r>
      <w:r>
        <w:rPr>
          <w:rFonts w:eastAsia="Batang;바탕"/>
          <w:sz w:val="24"/>
          <w:szCs w:val="24"/>
        </w:rPr>
        <w:t xml:space="preserve">(quantificata in base al valore ISEE del nucleo famigliare di appartenenza, fino ad un massimo di </w:t>
      </w:r>
      <w:r>
        <w:rPr>
          <w:rFonts w:eastAsia="Batang;바탕"/>
          <w:b/>
          <w:sz w:val="24"/>
          <w:szCs w:val="24"/>
        </w:rPr>
        <w:t xml:space="preserve">€ </w:t>
      </w:r>
      <w:r>
        <w:rPr>
          <w:rFonts w:eastAsia="Batang;바탕" w:cs="Times New Roman"/>
          <w:b/>
          <w:color w:val="auto"/>
          <w:sz w:val="24"/>
          <w:szCs w:val="24"/>
          <w:lang w:val="it-IT" w:eastAsia="zh-CN" w:bidi="ar-SA"/>
        </w:rPr>
        <w:t>149,04</w:t>
      </w:r>
      <w:r>
        <w:rPr>
          <w:rFonts w:eastAsia="Batang;바탕"/>
          <w:sz w:val="24"/>
          <w:szCs w:val="24"/>
        </w:rPr>
        <w:t>).</w:t>
      </w:r>
    </w:p>
    <w:p>
      <w:pPr>
        <w:pStyle w:val="BodyTextIndent"/>
        <w:spacing w:before="40" w:after="40"/>
        <w:ind w:hanging="0" w:left="0" w:right="0"/>
        <w:jc w:val="both"/>
        <w:rPr/>
      </w:pPr>
      <w:r>
        <w:rPr>
          <w:rFonts w:eastAsia="Batang;바탕" w:cs="Times New Roman"/>
          <w:sz w:val="24"/>
          <w:szCs w:val="24"/>
        </w:rPr>
        <w:t>La quota variabile è quantificata in base ai criteri stabiliti dal “Regolamento comunale per la concessione di agevolazioni di natura economica nei servizi scolastici” approvato con delibera di Consiglio Comunale n. 46 del 14.06.2016 e rivalutate sulla base dell’indice Istat con determinazione dirigenziale n. 81 del 24/01/202</w:t>
      </w:r>
      <w:r>
        <w:rPr>
          <w:rFonts w:eastAsia="Batang;바탕" w:cs="Times New Roman"/>
          <w:color w:val="auto"/>
          <w:sz w:val="24"/>
          <w:szCs w:val="24"/>
          <w:lang w:val="it-IT" w:eastAsia="zh-CN" w:bidi="ar-SA"/>
        </w:rPr>
        <w:t>4</w:t>
      </w:r>
      <w:r>
        <w:rPr>
          <w:rFonts w:eastAsia="Batang;바탕" w:cs="Times New Roman"/>
          <w:sz w:val="24"/>
          <w:szCs w:val="24"/>
        </w:rPr>
        <w:t>.</w:t>
      </w:r>
    </w:p>
    <w:p>
      <w:pPr>
        <w:pStyle w:val="Normal"/>
        <w:keepNext w:val="true"/>
        <w:keepLines/>
        <w:spacing w:before="60" w:after="0"/>
        <w:rPr>
          <w:b/>
          <w:sz w:val="24"/>
          <w:szCs w:val="24"/>
        </w:rPr>
      </w:pPr>
      <w:r>
        <w:rPr>
          <w:b/>
          <w:sz w:val="24"/>
          <w:szCs w:val="24"/>
        </w:rPr>
        <mc:AlternateContent>
          <mc:Choice Requires="wps">
            <w:drawing>
              <wp:anchor behindDoc="0" distT="0" distB="0" distL="89535" distR="88900" simplePos="0" locked="0" layoutInCell="0" allowOverlap="1" relativeHeight="16">
                <wp:simplePos x="0" y="0"/>
                <wp:positionH relativeFrom="margin">
                  <wp:posOffset>154940</wp:posOffset>
                </wp:positionH>
                <wp:positionV relativeFrom="paragraph">
                  <wp:posOffset>24130</wp:posOffset>
                </wp:positionV>
                <wp:extent cx="5657215" cy="2214880"/>
                <wp:effectExtent l="0" t="0" r="0" b="0"/>
                <wp:wrapSquare wrapText="bothSides"/>
                <wp:docPr id="1" name="Cornice1"/>
                <a:graphic xmlns:a="http://schemas.openxmlformats.org/drawingml/2006/main">
                  <a:graphicData uri="http://schemas.microsoft.com/office/word/2010/wordprocessingShape">
                    <wps:wsp>
                      <wps:cNvSpPr/>
                      <wps:spPr>
                        <a:xfrm>
                          <a:off x="0" y="0"/>
                          <a:ext cx="5657040" cy="2214720"/>
                        </a:xfrm>
                        <a:prstGeom prst="rect">
                          <a:avLst/>
                        </a:prstGeom>
                        <a:noFill/>
                        <a:ln w="0">
                          <a:noFill/>
                        </a:ln>
                      </wps:spPr>
                      <wps:style>
                        <a:lnRef idx="0"/>
                        <a:fillRef idx="0"/>
                        <a:effectRef idx="0"/>
                        <a:fontRef idx="minor"/>
                      </wps:style>
                      <wps:txbx>
                        <w:txbxContent>
                          <w:tbl>
                            <w:tblPr>
                              <w:tblW w:w="8604" w:type="dxa"/>
                              <w:jc w:val="left"/>
                              <w:tblInd w:w="70" w:type="dxa"/>
                              <w:tblLayout w:type="fixed"/>
                              <w:tblCellMar>
                                <w:top w:w="0" w:type="dxa"/>
                                <w:left w:w="70" w:type="dxa"/>
                                <w:bottom w:w="0" w:type="dxa"/>
                                <w:right w:w="70" w:type="dxa"/>
                              </w:tblCellMar>
                            </w:tblPr>
                            <w:tblGrid>
                              <w:gridCol w:w="4605"/>
                              <w:gridCol w:w="3998"/>
                            </w:tblGrid>
                            <w:tr>
                              <w:trPr/>
                              <w:tc>
                                <w:tcPr>
                                  <w:tcW w:w="4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Valore ISEE del nucleo familiare</w:t>
                                  </w:r>
                                </w:p>
                              </w:tc>
                              <w:tc>
                                <w:tcPr>
                                  <w:tcW w:w="39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r>
                                </w:p>
                                <w:p>
                                  <w:pPr>
                                    <w:pStyle w:val="Normal"/>
                                    <w:widowControl w:val="false"/>
                                    <w:jc w:val="both"/>
                                    <w:rPr>
                                      <w:b/>
                                      <w:bCs/>
                                    </w:rPr>
                                  </w:pPr>
                                  <w:r>
                                    <w:rPr>
                                      <w:b/>
                                      <w:bCs/>
                                    </w:rPr>
                                    <w:t>Retta mensile di frequenza</w:t>
                                  </w:r>
                                </w:p>
                                <w:p>
                                  <w:pPr>
                                    <w:pStyle w:val="Normal"/>
                                    <w:widowControl w:val="false"/>
                                    <w:jc w:val="both"/>
                                    <w:rPr>
                                      <w:b/>
                                      <w:bCs/>
                                    </w:rPr>
                                  </w:pPr>
                                  <w:r>
                                    <w:rPr>
                                      <w:b/>
                                      <w:bCs/>
                                    </w:rPr>
                                  </w:r>
                                </w:p>
                              </w:tc>
                            </w:tr>
                            <w:tr>
                              <w:trPr/>
                              <w:tc>
                                <w:tcPr>
                                  <w:tcW w:w="4605" w:type="dxa"/>
                                  <w:tcBorders>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Fino a </w:t>
                                  </w:r>
                                  <w:r>
                                    <w:rPr>
                                      <w:rFonts w:eastAsia="Times New Roman" w:cs="Times New Roman"/>
                                      <w:b/>
                                      <w:strike w:val="false"/>
                                      <w:dstrike w:val="false"/>
                                      <w:lang w:eastAsia="ar-SA"/>
                                    </w:rPr>
                                    <w:t xml:space="preserve">€ 7.161,72 </w:t>
                                  </w:r>
                                  <w:r>
                                    <w:rPr>
                                      <w:rFonts w:eastAsia="Times New Roman" w:cs="Times New Roman"/>
                                      <w:b/>
                                    </w:rPr>
                                    <w:t>(soglia minima)</w:t>
                                  </w:r>
                                </w:p>
                              </w:tc>
                              <w:tc>
                                <w:tcPr>
                                  <w:tcW w:w="3998" w:type="dxa"/>
                                  <w:tcBorders>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 </w:t>
                                  </w:r>
                                  <w:r>
                                    <w:rPr>
                                      <w:rFonts w:eastAsia="Times New Roman" w:cs="Times New Roman"/>
                                      <w:b/>
                                      <w:lang w:eastAsia="ar-SA"/>
                                    </w:rPr>
                                    <w:t>264,34</w:t>
                                  </w:r>
                                  <w:r>
                                    <w:rPr>
                                      <w:rFonts w:eastAsia="Times New Roman" w:cs="Times New Roman"/>
                                      <w:b/>
                                    </w:rPr>
                                    <w:t xml:space="preserve"> </w:t>
                                  </w:r>
                                  <w:r>
                                    <w:rPr>
                                      <w:rFonts w:eastAsia="Times New Roman" w:cs="Times New Roman"/>
                                      <w:b/>
                                    </w:rPr>
                                    <w:t xml:space="preserve">(solo </w:t>
                                  </w:r>
                                  <w:r>
                                    <w:rPr>
                                      <w:rFonts w:eastAsia="Times New Roman" w:cs="Times New Roman"/>
                                      <w:b/>
                                    </w:rPr>
                                    <w:t>quota fissa</w:t>
                                  </w:r>
                                  <w:r>
                                    <w:rPr>
                                      <w:rFonts w:eastAsia="Times New Roman" w:cs="Times New Roman"/>
                                      <w:b/>
                                    </w:rPr>
                                    <w:t>)</w:t>
                                  </w:r>
                                </w:p>
                              </w:tc>
                            </w:tr>
                            <w:tr>
                              <w:trPr>
                                <w:trHeight w:val="718" w:hRule="atLeast"/>
                              </w:trPr>
                              <w:tc>
                                <w:tcPr>
                                  <w:tcW w:w="4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Da € </w:t>
                                  </w:r>
                                  <w:r>
                                    <w:rPr>
                                      <w:rFonts w:eastAsia="Times New Roman" w:cs="Times New Roman"/>
                                      <w:b/>
                                      <w:strike w:val="false"/>
                                      <w:dstrike w:val="false"/>
                                      <w:lang w:eastAsia="ar-SA"/>
                                    </w:rPr>
                                    <w:t>7.161,73</w:t>
                                  </w:r>
                                  <w:r>
                                    <w:rPr>
                                      <w:rFonts w:eastAsia="Times New Roman" w:cs="Times New Roman"/>
                                      <w:b/>
                                    </w:rPr>
                                    <w:t xml:space="preserve"> a € </w:t>
                                  </w:r>
                                  <w:r>
                                    <w:rPr>
                                      <w:rFonts w:eastAsia="Times New Roman" w:cs="Times New Roman"/>
                                      <w:b/>
                                      <w:lang w:eastAsia="ar-SA"/>
                                    </w:rPr>
                                    <w:t>10.742,62</w:t>
                                  </w:r>
                                </w:p>
                              </w:tc>
                              <w:tc>
                                <w:tcPr>
                                  <w:tcW w:w="39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rFonts w:eastAsia="Times New Roman" w:cs="Times New Roman"/>
                                      <w:b/>
                                      <w:bCs/>
                                    </w:rPr>
                                    <w:t xml:space="preserve">Quota fissa € </w:t>
                                  </w:r>
                                  <w:r>
                                    <w:rPr>
                                      <w:rFonts w:eastAsia="Times New Roman" w:cs="Times New Roman"/>
                                      <w:b/>
                                      <w:bCs/>
                                      <w:lang w:eastAsia="ar-SA"/>
                                    </w:rPr>
                                    <w:t>264,34</w:t>
                                  </w:r>
                                  <w:r>
                                    <w:rPr>
                                      <w:rFonts w:eastAsia="Times New Roman" w:cs="Times New Roman"/>
                                      <w:b/>
                                      <w:bCs/>
                                    </w:rPr>
                                    <w:t xml:space="preserve"> + Quota variabile rapportata ai limiti reddituali massimi e minimi considerati, ottenuta applicando la formula </w:t>
                                  </w:r>
                                  <w:r>
                                    <w:rPr>
                                      <w:rFonts w:eastAsia="Times New Roman" w:cs="Times New Roman"/>
                                      <w:b/>
                                      <w:bCs/>
                                    </w:rPr>
                                    <w:t xml:space="preserve">sotto </w:t>
                                  </w:r>
                                  <w:r>
                                    <w:rPr>
                                      <w:rFonts w:eastAsia="Times New Roman" w:cs="Times New Roman"/>
                                      <w:b/>
                                      <w:bCs/>
                                    </w:rPr>
                                    <w:t>descritta*</w:t>
                                  </w:r>
                                </w:p>
                              </w:tc>
                            </w:tr>
                            <w:tr>
                              <w:trPr/>
                              <w:tc>
                                <w:tcPr>
                                  <w:tcW w:w="46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Fonts w:eastAsia="Times New Roman" w:cs="Times New Roman"/>
                                      <w:b/>
                                    </w:rPr>
                                    <w:t xml:space="preserve">Da € </w:t>
                                  </w:r>
                                  <w:r>
                                    <w:rPr>
                                      <w:rFonts w:eastAsia="Times New Roman" w:cs="Times New Roman"/>
                                      <w:b/>
                                      <w:lang w:eastAsia="ar-SA"/>
                                    </w:rPr>
                                    <w:t>10.742,63</w:t>
                                  </w:r>
                                  <w:r>
                                    <w:rPr>
                                      <w:rFonts w:eastAsia="Times New Roman" w:cs="Times New Roman"/>
                                      <w:b/>
                                    </w:rPr>
                                    <w:t xml:space="preserve"> (soglia massima)</w:t>
                                  </w:r>
                                </w:p>
                              </w:tc>
                              <w:tc>
                                <w:tcPr>
                                  <w:tcW w:w="39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Quota fissa </w:t>
                                  </w:r>
                                  <w:r>
                                    <w:rPr>
                                      <w:rFonts w:eastAsia="Times New Roman" w:cs="Times New Roman"/>
                                      <w:b/>
                                      <w:bCs/>
                                    </w:rPr>
                                    <w:t xml:space="preserve">€ </w:t>
                                  </w:r>
                                  <w:r>
                                    <w:rPr>
                                      <w:rFonts w:eastAsia="Times New Roman" w:cs="Times New Roman"/>
                                      <w:b/>
                                      <w:bCs/>
                                      <w:lang w:eastAsia="ar-SA"/>
                                    </w:rPr>
                                    <w:t>264,34</w:t>
                                  </w:r>
                                  <w:r>
                                    <w:rPr>
                                      <w:rFonts w:eastAsia="Times New Roman" w:cs="Times New Roman"/>
                                      <w:b/>
                                      <w:bCs/>
                                    </w:rPr>
                                    <w:t xml:space="preserve"> </w:t>
                                  </w:r>
                                  <w:r>
                                    <w:rPr>
                                      <w:rFonts w:eastAsia="Times New Roman" w:cs="Times New Roman"/>
                                      <w:b/>
                                    </w:rPr>
                                    <w:t xml:space="preserve">+ Quota variabile </w:t>
                                  </w:r>
                                  <w:r>
                                    <w:rPr>
                                      <w:rFonts w:eastAsia="Times New Roman" w:cs="Times New Roman"/>
                                      <w:b/>
                                    </w:rPr>
                                    <w:t>massima</w:t>
                                  </w:r>
                                  <w:r>
                                    <w:rPr>
                                      <w:rFonts w:eastAsia="Times New Roman" w:cs="Times New Roman"/>
                                      <w:b/>
                                    </w:rPr>
                                    <w:t xml:space="preserve"> pari a € 149,04= € </w:t>
                                  </w:r>
                                  <w:r>
                                    <w:rPr>
                                      <w:rFonts w:eastAsia="Times New Roman" w:cs="Times New Roman"/>
                                      <w:b/>
                                      <w:lang w:eastAsia="ar-SA"/>
                                    </w:rPr>
                                    <w:t>413,38</w:t>
                                  </w:r>
                                </w:p>
                              </w:tc>
                            </w:tr>
                          </w:tbl>
                          <w:p>
                            <w:pPr>
                              <w:pStyle w:val="Normal"/>
                              <w:rPr>
                                <w:color w:val="000000"/>
                              </w:rPr>
                            </w:pPr>
                            <w:r>
                              <w:rPr>
                                <w:color w:val="000000"/>
                              </w:rPr>
                              <w:t xml:space="preserve"> </w:t>
                            </w:r>
                          </w:p>
                        </w:txbxContent>
                      </wps:txbx>
                      <wps:bodyPr lIns="14040" rIns="14040" tIns="14040" bIns="14040" anchor="t">
                        <a:noAutofit/>
                      </wps:bodyPr>
                    </wps:wsp>
                  </a:graphicData>
                </a:graphic>
              </wp:anchor>
            </w:drawing>
          </mc:Choice>
          <mc:Fallback>
            <w:pict>
              <v:rect id="shape_0" ID="Cornice1" path="m0,0l-2147483645,0l-2147483645,-2147483646l0,-2147483646xe" stroked="f" o:allowincell="f" style="position:absolute;margin-left:12.2pt;margin-top:1.9pt;width:445.4pt;height:174.35pt;mso-wrap-style:square;v-text-anchor:top;mso-position-horizontal-relative:margin">
                <v:fill o:detectmouseclick="t" on="false"/>
                <v:stroke color="#3465a4" joinstyle="round" endcap="flat"/>
                <v:textbox>
                  <w:txbxContent>
                    <w:tbl>
                      <w:tblPr>
                        <w:tblW w:w="8604" w:type="dxa"/>
                        <w:jc w:val="left"/>
                        <w:tblInd w:w="70" w:type="dxa"/>
                        <w:tblLayout w:type="fixed"/>
                        <w:tblCellMar>
                          <w:top w:w="0" w:type="dxa"/>
                          <w:left w:w="70" w:type="dxa"/>
                          <w:bottom w:w="0" w:type="dxa"/>
                          <w:right w:w="70" w:type="dxa"/>
                        </w:tblCellMar>
                      </w:tblPr>
                      <w:tblGrid>
                        <w:gridCol w:w="4605"/>
                        <w:gridCol w:w="3998"/>
                      </w:tblGrid>
                      <w:tr>
                        <w:trPr/>
                        <w:tc>
                          <w:tcPr>
                            <w:tcW w:w="4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t>Valore ISEE del nucleo familiare</w:t>
                            </w:r>
                          </w:p>
                        </w:tc>
                        <w:tc>
                          <w:tcPr>
                            <w:tcW w:w="39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rPr>
                            </w:pPr>
                            <w:r>
                              <w:rPr>
                                <w:b/>
                                <w:bCs/>
                              </w:rPr>
                            </w:r>
                          </w:p>
                          <w:p>
                            <w:pPr>
                              <w:pStyle w:val="Normal"/>
                              <w:widowControl w:val="false"/>
                              <w:jc w:val="both"/>
                              <w:rPr>
                                <w:b/>
                                <w:bCs/>
                              </w:rPr>
                            </w:pPr>
                            <w:r>
                              <w:rPr>
                                <w:b/>
                                <w:bCs/>
                              </w:rPr>
                              <w:t>Retta mensile di frequenza</w:t>
                            </w:r>
                          </w:p>
                          <w:p>
                            <w:pPr>
                              <w:pStyle w:val="Normal"/>
                              <w:widowControl w:val="false"/>
                              <w:jc w:val="both"/>
                              <w:rPr>
                                <w:b/>
                                <w:bCs/>
                              </w:rPr>
                            </w:pPr>
                            <w:r>
                              <w:rPr>
                                <w:b/>
                                <w:bCs/>
                              </w:rPr>
                            </w:r>
                          </w:p>
                        </w:tc>
                      </w:tr>
                      <w:tr>
                        <w:trPr/>
                        <w:tc>
                          <w:tcPr>
                            <w:tcW w:w="4605" w:type="dxa"/>
                            <w:tcBorders>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Fino a </w:t>
                            </w:r>
                            <w:r>
                              <w:rPr>
                                <w:rFonts w:eastAsia="Times New Roman" w:cs="Times New Roman"/>
                                <w:b/>
                                <w:strike w:val="false"/>
                                <w:dstrike w:val="false"/>
                                <w:lang w:eastAsia="ar-SA"/>
                              </w:rPr>
                              <w:t xml:space="preserve">€ 7.161,72 </w:t>
                            </w:r>
                            <w:r>
                              <w:rPr>
                                <w:rFonts w:eastAsia="Times New Roman" w:cs="Times New Roman"/>
                                <w:b/>
                              </w:rPr>
                              <w:t>(soglia minima)</w:t>
                            </w:r>
                          </w:p>
                        </w:tc>
                        <w:tc>
                          <w:tcPr>
                            <w:tcW w:w="3998" w:type="dxa"/>
                            <w:tcBorders>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 </w:t>
                            </w:r>
                            <w:r>
                              <w:rPr>
                                <w:rFonts w:eastAsia="Times New Roman" w:cs="Times New Roman"/>
                                <w:b/>
                                <w:lang w:eastAsia="ar-SA"/>
                              </w:rPr>
                              <w:t>264,34</w:t>
                            </w:r>
                            <w:r>
                              <w:rPr>
                                <w:rFonts w:eastAsia="Times New Roman" w:cs="Times New Roman"/>
                                <w:b/>
                              </w:rPr>
                              <w:t xml:space="preserve"> </w:t>
                            </w:r>
                            <w:r>
                              <w:rPr>
                                <w:rFonts w:eastAsia="Times New Roman" w:cs="Times New Roman"/>
                                <w:b/>
                              </w:rPr>
                              <w:t xml:space="preserve">(solo </w:t>
                            </w:r>
                            <w:r>
                              <w:rPr>
                                <w:rFonts w:eastAsia="Times New Roman" w:cs="Times New Roman"/>
                                <w:b/>
                              </w:rPr>
                              <w:t>quota fissa</w:t>
                            </w:r>
                            <w:r>
                              <w:rPr>
                                <w:rFonts w:eastAsia="Times New Roman" w:cs="Times New Roman"/>
                                <w:b/>
                              </w:rPr>
                              <w:t>)</w:t>
                            </w:r>
                          </w:p>
                        </w:tc>
                      </w:tr>
                      <w:tr>
                        <w:trPr>
                          <w:trHeight w:val="718" w:hRule="atLeast"/>
                        </w:trPr>
                        <w:tc>
                          <w:tcPr>
                            <w:tcW w:w="4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Da € </w:t>
                            </w:r>
                            <w:r>
                              <w:rPr>
                                <w:rFonts w:eastAsia="Times New Roman" w:cs="Times New Roman"/>
                                <w:b/>
                                <w:strike w:val="false"/>
                                <w:dstrike w:val="false"/>
                                <w:lang w:eastAsia="ar-SA"/>
                              </w:rPr>
                              <w:t>7.161,73</w:t>
                            </w:r>
                            <w:r>
                              <w:rPr>
                                <w:rFonts w:eastAsia="Times New Roman" w:cs="Times New Roman"/>
                                <w:b/>
                              </w:rPr>
                              <w:t xml:space="preserve"> a € </w:t>
                            </w:r>
                            <w:r>
                              <w:rPr>
                                <w:rFonts w:eastAsia="Times New Roman" w:cs="Times New Roman"/>
                                <w:b/>
                                <w:lang w:eastAsia="ar-SA"/>
                              </w:rPr>
                              <w:t>10.742,62</w:t>
                            </w:r>
                          </w:p>
                        </w:tc>
                        <w:tc>
                          <w:tcPr>
                            <w:tcW w:w="39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Cs/>
                              </w:rPr>
                            </w:pPr>
                            <w:r>
                              <w:rPr>
                                <w:rFonts w:eastAsia="Times New Roman" w:cs="Times New Roman"/>
                                <w:b/>
                                <w:bCs/>
                              </w:rPr>
                              <w:t xml:space="preserve">Quota fissa € </w:t>
                            </w:r>
                            <w:r>
                              <w:rPr>
                                <w:rFonts w:eastAsia="Times New Roman" w:cs="Times New Roman"/>
                                <w:b/>
                                <w:bCs/>
                                <w:lang w:eastAsia="ar-SA"/>
                              </w:rPr>
                              <w:t>264,34</w:t>
                            </w:r>
                            <w:r>
                              <w:rPr>
                                <w:rFonts w:eastAsia="Times New Roman" w:cs="Times New Roman"/>
                                <w:b/>
                                <w:bCs/>
                              </w:rPr>
                              <w:t xml:space="preserve"> + Quota variabile rapportata ai limiti reddituali massimi e minimi considerati, ottenuta applicando la formula </w:t>
                            </w:r>
                            <w:r>
                              <w:rPr>
                                <w:rFonts w:eastAsia="Times New Roman" w:cs="Times New Roman"/>
                                <w:b/>
                                <w:bCs/>
                              </w:rPr>
                              <w:t xml:space="preserve">sotto </w:t>
                            </w:r>
                            <w:r>
                              <w:rPr>
                                <w:rFonts w:eastAsia="Times New Roman" w:cs="Times New Roman"/>
                                <w:b/>
                                <w:bCs/>
                              </w:rPr>
                              <w:t>descritta*</w:t>
                            </w:r>
                          </w:p>
                        </w:tc>
                      </w:tr>
                      <w:tr>
                        <w:trPr/>
                        <w:tc>
                          <w:tcPr>
                            <w:tcW w:w="46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Fonts w:eastAsia="Times New Roman" w:cs="Times New Roman"/>
                                <w:b/>
                              </w:rPr>
                              <w:t xml:space="preserve">Da € </w:t>
                            </w:r>
                            <w:r>
                              <w:rPr>
                                <w:rFonts w:eastAsia="Times New Roman" w:cs="Times New Roman"/>
                                <w:b/>
                                <w:lang w:eastAsia="ar-SA"/>
                              </w:rPr>
                              <w:t>10.742,63</w:t>
                            </w:r>
                            <w:r>
                              <w:rPr>
                                <w:rFonts w:eastAsia="Times New Roman" w:cs="Times New Roman"/>
                                <w:b/>
                              </w:rPr>
                              <w:t xml:space="preserve"> (soglia massima)</w:t>
                            </w:r>
                          </w:p>
                        </w:tc>
                        <w:tc>
                          <w:tcPr>
                            <w:tcW w:w="39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Fonts w:eastAsia="Times New Roman" w:cs="Times New Roman"/>
                                <w:b/>
                              </w:rPr>
                              <w:t xml:space="preserve">Quota fissa </w:t>
                            </w:r>
                            <w:r>
                              <w:rPr>
                                <w:rFonts w:eastAsia="Times New Roman" w:cs="Times New Roman"/>
                                <w:b/>
                                <w:bCs/>
                              </w:rPr>
                              <w:t xml:space="preserve">€ </w:t>
                            </w:r>
                            <w:r>
                              <w:rPr>
                                <w:rFonts w:eastAsia="Times New Roman" w:cs="Times New Roman"/>
                                <w:b/>
                                <w:bCs/>
                                <w:lang w:eastAsia="ar-SA"/>
                              </w:rPr>
                              <w:t>264,34</w:t>
                            </w:r>
                            <w:r>
                              <w:rPr>
                                <w:rFonts w:eastAsia="Times New Roman" w:cs="Times New Roman"/>
                                <w:b/>
                                <w:bCs/>
                              </w:rPr>
                              <w:t xml:space="preserve"> </w:t>
                            </w:r>
                            <w:r>
                              <w:rPr>
                                <w:rFonts w:eastAsia="Times New Roman" w:cs="Times New Roman"/>
                                <w:b/>
                              </w:rPr>
                              <w:t xml:space="preserve">+ Quota variabile </w:t>
                            </w:r>
                            <w:r>
                              <w:rPr>
                                <w:rFonts w:eastAsia="Times New Roman" w:cs="Times New Roman"/>
                                <w:b/>
                              </w:rPr>
                              <w:t>massima</w:t>
                            </w:r>
                            <w:r>
                              <w:rPr>
                                <w:rFonts w:eastAsia="Times New Roman" w:cs="Times New Roman"/>
                                <w:b/>
                              </w:rPr>
                              <w:t xml:space="preserve"> pari a € 149,04= € </w:t>
                            </w:r>
                            <w:r>
                              <w:rPr>
                                <w:rFonts w:eastAsia="Times New Roman" w:cs="Times New Roman"/>
                                <w:b/>
                                <w:lang w:eastAsia="ar-SA"/>
                              </w:rPr>
                              <w:t>413,38</w:t>
                            </w:r>
                          </w:p>
                        </w:tc>
                      </w:tr>
                    </w:tbl>
                    <w:p>
                      <w:pPr>
                        <w:pStyle w:val="Normal"/>
                        <w:rPr>
                          <w:color w:val="000000"/>
                        </w:rPr>
                      </w:pPr>
                      <w:r>
                        <w:rPr>
                          <w:color w:val="000000"/>
                        </w:rPr>
                        <w:t xml:space="preserve"> </w:t>
                      </w:r>
                    </w:p>
                  </w:txbxContent>
                </v:textbox>
                <w10:wrap type="square"/>
              </v:rect>
            </w:pict>
          </mc:Fallback>
        </mc:AlternateContent>
      </w:r>
    </w:p>
    <w:p>
      <w:pPr>
        <w:pStyle w:val="Normal"/>
        <w:keepNext w:val="true"/>
        <w:keepLines/>
        <w:spacing w:before="60" w:after="0"/>
        <w:rPr>
          <w:b/>
          <w:sz w:val="24"/>
          <w:szCs w:val="24"/>
        </w:rPr>
      </w:pPr>
      <w:r>
        <w:rPr>
          <w:b/>
          <w:sz w:val="24"/>
          <w:szCs w:val="24"/>
        </w:rPr>
      </w:r>
    </w:p>
    <w:p>
      <w:pPr>
        <w:pStyle w:val="BodyText"/>
        <w:keepLines/>
        <w:ind w:hanging="0" w:left="0" w:right="0"/>
        <w:rPr>
          <w:b/>
          <w:sz w:val="24"/>
          <w:szCs w:val="24"/>
        </w:rPr>
      </w:pPr>
      <w:r>
        <w:rPr>
          <w:b/>
          <w:sz w:val="24"/>
          <w:szCs w:val="24"/>
        </w:rPr>
      </w:r>
    </w:p>
    <w:p>
      <w:pPr>
        <w:pStyle w:val="BodyText"/>
        <w:ind w:hanging="0" w:left="0" w:right="0"/>
        <w:rPr>
          <w:b/>
          <w:sz w:val="24"/>
          <w:szCs w:val="24"/>
        </w:rPr>
      </w:pPr>
      <w:r>
        <w:rPr>
          <w:b/>
          <w:sz w:val="24"/>
          <w:szCs w:val="24"/>
        </w:rPr>
      </w:r>
    </w:p>
    <w:p>
      <w:pPr>
        <w:pStyle w:val="BodyText"/>
        <w:ind w:hanging="0" w:left="0" w:right="0"/>
        <w:rPr>
          <w:b/>
          <w:sz w:val="24"/>
          <w:szCs w:val="24"/>
        </w:rPr>
      </w:pPr>
      <w:r>
        <w:rPr>
          <w:b/>
          <w:sz w:val="24"/>
          <w:szCs w:val="24"/>
        </w:rPr>
      </w:r>
    </w:p>
    <w:p>
      <w:pPr>
        <w:pStyle w:val="BodyText"/>
        <w:ind w:hanging="0" w:left="0" w:right="0"/>
        <w:rPr>
          <w:rFonts w:cs="Times New Roman"/>
          <w:sz w:val="24"/>
          <w:szCs w:val="24"/>
        </w:rPr>
      </w:pPr>
      <w:r>
        <w:rPr/>
      </w:r>
    </w:p>
    <w:p>
      <w:pPr>
        <w:pStyle w:val="BodyText"/>
        <w:ind w:hanging="0" w:left="0" w:right="0"/>
        <w:rPr>
          <w:rFonts w:cs="Times New Roman"/>
          <w:sz w:val="24"/>
          <w:szCs w:val="24"/>
        </w:rPr>
      </w:pPr>
      <w:r>
        <w:rPr/>
      </w:r>
    </w:p>
    <w:p>
      <w:pPr>
        <w:pStyle w:val="BodyText"/>
        <w:ind w:hanging="0" w:left="0" w:right="0"/>
        <w:rPr>
          <w:rFonts w:cs="Times New Roman"/>
          <w:sz w:val="24"/>
          <w:szCs w:val="24"/>
        </w:rPr>
      </w:pPr>
      <w:r>
        <w:rPr/>
      </w:r>
    </w:p>
    <w:p>
      <w:pPr>
        <w:pStyle w:val="BodyText"/>
        <w:ind w:hanging="0" w:left="0" w:right="0"/>
        <w:jc w:val="both"/>
        <w:rPr>
          <w:rFonts w:cs="Times New Roman"/>
          <w:sz w:val="24"/>
          <w:szCs w:val="24"/>
        </w:rPr>
      </w:pPr>
      <w:r>
        <w:rPr/>
      </w:r>
    </w:p>
    <w:p>
      <w:pPr>
        <w:pStyle w:val="BodyText"/>
        <w:ind w:hanging="0" w:left="0" w:right="0"/>
        <w:jc w:val="both"/>
        <w:rPr/>
      </w:pPr>
      <w:r>
        <w:rPr>
          <w:rFonts w:cs="Times New Roman"/>
          <w:sz w:val="24"/>
          <w:szCs w:val="24"/>
        </w:rPr>
        <w:t xml:space="preserve">* </w:t>
      </w:r>
      <w:r>
        <w:rPr>
          <w:rFonts w:cs="Times New Roman"/>
          <w:sz w:val="24"/>
          <w:szCs w:val="24"/>
        </w:rPr>
        <w:t xml:space="preserve">Rapporto fra la differenza dell’ISEE presentato rispetto alla soglia minima e la differenza fra soglia massima e soglia minima </w:t>
      </w:r>
      <w:r>
        <w:rPr>
          <w:rFonts w:cs="Times New Roman"/>
          <w:b/>
          <w:sz w:val="24"/>
          <w:szCs w:val="24"/>
        </w:rPr>
        <w:t>{= 1 – (B7-B3)/(B5-B3)}</w:t>
      </w:r>
      <w:r>
        <w:rPr>
          <w:rFonts w:cs="Times New Roman"/>
          <w:sz w:val="24"/>
          <w:szCs w:val="24"/>
        </w:rPr>
        <w:t>, dove B7 è l’ISEE presentato, B3 è la soglia minima e B5 è la soglia massima.</w:t>
      </w:r>
    </w:p>
    <w:p>
      <w:pPr>
        <w:pStyle w:val="BodyText"/>
        <w:keepLines/>
        <w:spacing w:lineRule="auto" w:line="240"/>
        <w:ind w:hanging="0" w:left="0" w:right="0"/>
        <w:jc w:val="both"/>
        <w:rPr/>
      </w:pPr>
      <w:r>
        <w:rPr>
          <w:rFonts w:cs="Times New Roman"/>
          <w:sz w:val="24"/>
          <w:szCs w:val="24"/>
        </w:rPr>
        <w:t xml:space="preserve">La mancata presentazione dell’Attestazione ISE/ISEE comporta il pagamento della retta intera massima pari a </w:t>
      </w:r>
      <w:r>
        <w:rPr>
          <w:rFonts w:cs="Times New Roman"/>
          <w:b/>
          <w:sz w:val="24"/>
          <w:szCs w:val="24"/>
        </w:rPr>
        <w:t xml:space="preserve">€ </w:t>
      </w:r>
      <w:r>
        <w:rPr>
          <w:rFonts w:eastAsia="Times New Roman" w:cs="Times New Roman"/>
          <w:b/>
          <w:color w:val="auto"/>
          <w:sz w:val="24"/>
          <w:szCs w:val="24"/>
          <w:lang w:val="it-IT" w:eastAsia="zh-CN" w:bidi="ar-SA"/>
        </w:rPr>
        <w:t>413,38.</w:t>
      </w:r>
    </w:p>
    <w:p>
      <w:pPr>
        <w:pStyle w:val="BodyText"/>
        <w:keepLines/>
        <w:spacing w:lineRule="auto" w:line="240"/>
        <w:ind w:hanging="0" w:left="0" w:right="0"/>
        <w:jc w:val="both"/>
        <w:rPr/>
      </w:pPr>
      <w:r>
        <w:rPr>
          <w:rFonts w:eastAsia="Batang;바탕" w:cs="Times New Roman"/>
          <w:sz w:val="24"/>
          <w:szCs w:val="24"/>
        </w:rPr>
        <w:t xml:space="preserve">Le rette mensili saranno riproporzionate in base al periodo di frequenza del Centro estivo scelto al momento della presentazione della domanda di iscrizione </w:t>
      </w:r>
      <w:r>
        <w:rPr>
          <w:rFonts w:eastAsia="Batang;바탕" w:cs="Times New Roman"/>
          <w:sz w:val="24"/>
          <w:szCs w:val="24"/>
          <w:shd w:fill="auto" w:val="clear"/>
        </w:rPr>
        <w:t>(due mesi, un mese o 2 settimane nello stesso mese).</w:t>
      </w:r>
    </w:p>
    <w:p>
      <w:pPr>
        <w:pStyle w:val="BodyText"/>
        <w:keepLines/>
        <w:spacing w:lineRule="auto" w:line="276"/>
        <w:ind w:hanging="0" w:left="0" w:right="0"/>
        <w:jc w:val="both"/>
        <w:rPr/>
      </w:pPr>
      <w:r>
        <w:rPr>
          <w:rFonts w:eastAsia="Batang;바탕" w:cs="Times New Roman"/>
          <w:sz w:val="24"/>
          <w:szCs w:val="24"/>
        </w:rPr>
        <w:t xml:space="preserve">Le rette sopra indicate non verranno ridotte a fronte di un parziale e ingiustificato utilizzo del servizio, </w:t>
      </w:r>
      <w:r>
        <w:rPr>
          <w:rFonts w:cs="Times New Roman"/>
          <w:sz w:val="24"/>
          <w:szCs w:val="24"/>
        </w:rPr>
        <w:t xml:space="preserve">salvo i casi più avanti specificati. </w:t>
      </w:r>
    </w:p>
    <w:p>
      <w:pPr>
        <w:pStyle w:val="BodyText"/>
        <w:spacing w:lineRule="auto" w:line="276"/>
        <w:ind w:hanging="0" w:left="0" w:right="0"/>
        <w:jc w:val="both"/>
        <w:rPr/>
      </w:pPr>
      <w:r>
        <w:rPr>
          <w:rFonts w:eastAsia="Batang;바탕" w:cs="Times New Roman"/>
          <w:b w:val="false"/>
          <w:bCs w:val="false"/>
          <w:sz w:val="24"/>
          <w:szCs w:val="24"/>
          <w:u w:val="none"/>
          <w:shd w:fill="auto" w:val="clear"/>
        </w:rPr>
        <w:t>L’utilizzo parziale del servizio da parte di bimbi portatori di disabilità, comporterà una riduzione proporzionale della tariffa stabilita.</w:t>
      </w:r>
    </w:p>
    <w:p>
      <w:pPr>
        <w:pStyle w:val="BodyText"/>
        <w:keepLines/>
        <w:spacing w:lineRule="auto" w:line="276"/>
        <w:ind w:hanging="0" w:left="0" w:right="0"/>
        <w:jc w:val="both"/>
        <w:rPr/>
      </w:pPr>
      <w:r>
        <w:rPr>
          <w:rFonts w:cs="Times New Roman"/>
          <w:b/>
          <w:color w:val="000000"/>
          <w:sz w:val="24"/>
          <w:szCs w:val="24"/>
          <w:u w:val="none"/>
          <w:shd w:fill="auto" w:val="clear"/>
        </w:rPr>
        <w:t>La retta di frequenza deve essere pagata direttamente al gestore del servizio,</w:t>
      </w:r>
      <w:r>
        <w:rPr>
          <w:rFonts w:cs="Times New Roman"/>
          <w:color w:val="000000"/>
          <w:sz w:val="24"/>
          <w:szCs w:val="24"/>
          <w:shd w:fill="auto" w:val="clear"/>
        </w:rPr>
        <w:t xml:space="preserve"> anticipatamente rispetto all’inserimento e precisamente </w:t>
      </w:r>
      <w:r>
        <w:rPr>
          <w:rFonts w:cs="Times New Roman"/>
          <w:b/>
          <w:color w:val="000000"/>
          <w:sz w:val="24"/>
          <w:szCs w:val="24"/>
          <w:u w:val="single"/>
          <w:shd w:fill="auto" w:val="clear"/>
        </w:rPr>
        <w:t>entro e non oltre il 7 giugno 2024</w:t>
      </w:r>
      <w:r>
        <w:rPr>
          <w:rFonts w:eastAsia="Times New Roman" w:cs="Times New Roman"/>
          <w:b/>
          <w:color w:val="000000"/>
          <w:sz w:val="24"/>
          <w:szCs w:val="24"/>
          <w:u w:val="single"/>
          <w:shd w:fill="auto" w:val="clear"/>
          <w:lang w:val="it-IT" w:eastAsia="zh-CN" w:bidi="ar-SA"/>
        </w:rPr>
        <w:t>.</w:t>
      </w:r>
    </w:p>
    <w:p>
      <w:pPr>
        <w:pStyle w:val="BodyText"/>
        <w:keepLines/>
        <w:spacing w:lineRule="auto" w:line="276"/>
        <w:ind w:hanging="0" w:left="0" w:right="0"/>
        <w:jc w:val="both"/>
        <w:rPr/>
      </w:pPr>
      <w:r>
        <w:rPr>
          <w:rFonts w:cs="Times New Roman"/>
          <w:b/>
          <w:sz w:val="24"/>
          <w:szCs w:val="24"/>
          <w:u w:val="single"/>
          <w:shd w:fill="auto" w:val="clear"/>
        </w:rPr>
        <w:t>La retta di frequenza andrà invece corrisposta al Comune sempre entro il termine del 7 giugno</w:t>
      </w:r>
      <w:r>
        <w:rPr>
          <w:rFonts w:cs="Times New Roman"/>
          <w:b/>
          <w:sz w:val="24"/>
          <w:szCs w:val="24"/>
          <w:u w:val="single"/>
        </w:rPr>
        <w:t xml:space="preserve"> 202</w:t>
      </w:r>
      <w:r>
        <w:rPr>
          <w:rFonts w:eastAsia="Times New Roman" w:cs="Times New Roman"/>
          <w:b/>
          <w:color w:val="auto"/>
          <w:sz w:val="24"/>
          <w:szCs w:val="24"/>
          <w:u w:val="single"/>
          <w:lang w:val="it-IT" w:eastAsia="zh-CN" w:bidi="ar-SA"/>
        </w:rPr>
        <w:t>4</w:t>
      </w:r>
      <w:r>
        <w:rPr>
          <w:rFonts w:cs="Times New Roman"/>
          <w:b/>
          <w:sz w:val="24"/>
          <w:szCs w:val="24"/>
          <w:u w:val="single"/>
        </w:rPr>
        <w:t xml:space="preserve"> limitatamente agli utenti disabili per i quali il Comune organizza a proprio carico l’assistenza continuativa (mediante educatore/oss) con rapporto 1:1 per tutto il tempo di frequenza</w:t>
      </w:r>
      <w:r>
        <w:rPr>
          <w:rFonts w:cs="Times New Roman"/>
          <w:sz w:val="24"/>
          <w:szCs w:val="24"/>
        </w:rPr>
        <w:t xml:space="preserve"> (tariffa da riproporzionare sulla base delle ore di frequenza).</w:t>
      </w:r>
    </w:p>
    <w:p>
      <w:pPr>
        <w:pStyle w:val="BodyText"/>
        <w:spacing w:lineRule="auto" w:line="276"/>
        <w:ind w:hanging="0" w:left="0" w:right="0"/>
        <w:jc w:val="both"/>
        <w:rPr/>
      </w:pPr>
      <w:r>
        <w:rPr>
          <w:rFonts w:eastAsia="Batang;바탕" w:cs="Times New Roman"/>
          <w:sz w:val="24"/>
          <w:szCs w:val="24"/>
        </w:rPr>
        <w:t xml:space="preserve">Al fine di consentire una organizzazione del servizio puntuale e corretta è indispensabile che l’Ufficio  infanzia e scuola riceva con immediatezza ogni riscontro dei pagamenti per i servizi richiesti, per cui i genitori debbono trasmettere via posta elettronica le ricevute di pagamento effettuate </w:t>
      </w:r>
      <w:r>
        <w:rPr>
          <w:rFonts w:eastAsia="Batang;바탕" w:cs="Times New Roman"/>
          <w:sz w:val="24"/>
          <w:szCs w:val="24"/>
          <w:shd w:fill="auto" w:val="clear"/>
        </w:rPr>
        <w:t xml:space="preserve">per ottenere l’effettiva conferma del servizio richiesto. </w:t>
      </w:r>
    </w:p>
    <w:p>
      <w:pPr>
        <w:pStyle w:val="BodyText"/>
        <w:spacing w:lineRule="auto" w:line="276" w:before="120" w:after="0"/>
        <w:ind w:hanging="0" w:left="0" w:right="0"/>
        <w:jc w:val="both"/>
        <w:rPr/>
      </w:pPr>
      <w:r>
        <w:rPr>
          <w:rFonts w:eastAsia="Batang;바탕" w:cs="Times New Roman"/>
          <w:sz w:val="24"/>
          <w:szCs w:val="24"/>
        </w:rPr>
        <w:t>I contatti sono i seguenti:</w:t>
      </w:r>
    </w:p>
    <w:p>
      <w:pPr>
        <w:pStyle w:val="BodyText"/>
        <w:spacing w:lineRule="auto" w:line="276" w:before="120" w:after="0"/>
        <w:ind w:hanging="0" w:left="0" w:right="0"/>
        <w:rPr/>
      </w:pPr>
      <w:r>
        <w:rPr>
          <w:rFonts w:eastAsia="Times New Roman" w:cs="Times New Roman"/>
          <w:sz w:val="24"/>
          <w:szCs w:val="24"/>
        </w:rPr>
        <w:t xml:space="preserve">● </w:t>
      </w:r>
      <w:r>
        <w:rPr>
          <w:rFonts w:eastAsia="Batang;바탕" w:cs="Times New Roman"/>
          <w:sz w:val="24"/>
          <w:szCs w:val="24"/>
        </w:rPr>
        <w:t xml:space="preserve">posta elettronica: </w:t>
      </w:r>
      <w:hyperlink r:id="rId3">
        <w:r>
          <w:rPr>
            <w:rStyle w:val="Hyperlink"/>
            <w:rFonts w:eastAsia="Batang;바탕" w:cs="Times New Roman"/>
            <w:color w:val="000000"/>
            <w:sz w:val="24"/>
            <w:szCs w:val="24"/>
            <w:u w:val="none"/>
          </w:rPr>
          <w:t>servizioscuola@comune.cesenatico.fc.it</w:t>
        </w:r>
      </w:hyperlink>
    </w:p>
    <w:p>
      <w:pPr>
        <w:pStyle w:val="BodyText"/>
        <w:spacing w:lineRule="auto" w:line="276" w:before="120" w:after="0"/>
        <w:ind w:hanging="0" w:left="0" w:right="0"/>
        <w:jc w:val="both"/>
        <w:rPr/>
      </w:pPr>
      <w:r>
        <w:rPr>
          <w:rFonts w:eastAsia="Times New Roman" w:cs="Times New Roman"/>
          <w:color w:val="000000"/>
          <w:sz w:val="24"/>
          <w:szCs w:val="24"/>
          <w:u w:val="none"/>
        </w:rPr>
        <w:t xml:space="preserve">● </w:t>
      </w:r>
      <w:r>
        <w:rPr>
          <w:rFonts w:eastAsia="Batang;바탕" w:cs="Times New Roman"/>
          <w:color w:val="000000"/>
          <w:sz w:val="24"/>
          <w:szCs w:val="24"/>
          <w:u w:val="none"/>
        </w:rPr>
        <w:t>telefono Ufficio infanzia e scuola 054779321-</w:t>
      </w:r>
      <w:r>
        <w:rPr>
          <w:rFonts w:eastAsia="Batang;바탕" w:cs="Times New Roman"/>
          <w:color w:val="000000"/>
          <w:sz w:val="24"/>
          <w:szCs w:val="24"/>
          <w:u w:val="none"/>
        </w:rPr>
        <w:t>329-</w:t>
      </w:r>
      <w:r>
        <w:rPr>
          <w:rFonts w:eastAsia="Batang;바탕" w:cs="Times New Roman"/>
          <w:color w:val="000000"/>
          <w:sz w:val="24"/>
          <w:szCs w:val="24"/>
          <w:u w:val="none"/>
        </w:rPr>
        <w:t xml:space="preserve">318 </w:t>
      </w:r>
      <w:r>
        <w:rPr>
          <w:rFonts w:eastAsia="Batang;바탕" w:cs="Times New Roman"/>
          <w:color w:val="000000"/>
          <w:sz w:val="24"/>
          <w:szCs w:val="24"/>
          <w:u w:val="none"/>
          <w:shd w:fill="auto" w:val="clear"/>
        </w:rPr>
        <w:t>(dal lunedì al venerdì dalle ore 09.00 alle 13.00, giovedì anche dalle 15.00 alle 17.00)</w:t>
      </w:r>
      <w:r>
        <w:rPr>
          <w:rFonts w:eastAsia="Batang;바탕" w:cs="Times New Roman"/>
          <w:color w:val="000000"/>
          <w:sz w:val="24"/>
          <w:szCs w:val="24"/>
          <w:u w:val="none"/>
        </w:rPr>
        <w:t>.</w:t>
      </w:r>
    </w:p>
    <w:p>
      <w:pPr>
        <w:pStyle w:val="BodyText"/>
        <w:keepLines/>
        <w:spacing w:lineRule="auto" w:line="276" w:before="120" w:after="0"/>
        <w:ind w:hanging="0" w:left="0" w:right="0"/>
        <w:jc w:val="both"/>
        <w:rPr>
          <w:highlight w:val="none"/>
          <w:shd w:fill="auto" w:val="clear"/>
        </w:rPr>
      </w:pPr>
      <w:r>
        <w:rPr>
          <w:rFonts w:eastAsia="Batang;바탕" w:cs="Times New Roman"/>
          <w:sz w:val="24"/>
          <w:szCs w:val="24"/>
          <w:shd w:fill="auto" w:val="clear"/>
        </w:rPr>
        <w:t>In caso di malattia del bambino attestata dal pediatra/medico di base, su richiesta scritta e documentata dall’interessato, potrà essere rimborsata la retta già corrisposta nella misura del  30%, nel caso di malattia superiore a 15 giorni consecutivi e del 50% nel caso di malattia superiore a 30 giorni consecutivi.</w:t>
      </w:r>
    </w:p>
    <w:p>
      <w:pPr>
        <w:pStyle w:val="BodyText"/>
        <w:spacing w:lineRule="auto" w:line="276" w:before="120" w:after="0"/>
        <w:ind w:hanging="0" w:left="0" w:right="0"/>
        <w:jc w:val="both"/>
        <w:rPr/>
      </w:pPr>
      <w:r>
        <w:rPr>
          <w:rFonts w:eastAsia="Batang;바탕" w:cs="Times New Roman"/>
          <w:b/>
          <w:bCs/>
          <w:sz w:val="24"/>
          <w:szCs w:val="24"/>
        </w:rPr>
        <w:t>Nel caso di ritardo immotivato nel pagamento della retta nel termine del 7</w:t>
      </w:r>
      <w:r>
        <w:rPr>
          <w:rFonts w:eastAsia="Batang;바탕" w:cs="Times New Roman"/>
          <w:b/>
          <w:bCs/>
          <w:color w:val="auto"/>
          <w:sz w:val="24"/>
          <w:szCs w:val="24"/>
          <w:lang w:val="it-IT" w:eastAsia="zh-CN" w:bidi="ar-SA"/>
        </w:rPr>
        <w:t xml:space="preserve"> </w:t>
      </w:r>
      <w:r>
        <w:rPr>
          <w:rFonts w:eastAsia="Batang;바탕" w:cs="Times New Roman"/>
          <w:b/>
          <w:bCs/>
          <w:sz w:val="24"/>
          <w:szCs w:val="24"/>
        </w:rPr>
        <w:t>giugno 202</w:t>
      </w:r>
      <w:r>
        <w:rPr>
          <w:rFonts w:eastAsia="Batang;바탕" w:cs="Times New Roman"/>
          <w:b/>
          <w:bCs/>
          <w:color w:val="auto"/>
          <w:sz w:val="24"/>
          <w:szCs w:val="24"/>
          <w:lang w:val="it-IT" w:eastAsia="zh-CN" w:bidi="ar-SA"/>
        </w:rPr>
        <w:t>4</w:t>
      </w:r>
      <w:r>
        <w:rPr>
          <w:rFonts w:eastAsia="Batang;바탕" w:cs="Times New Roman"/>
          <w:b/>
          <w:bCs/>
          <w:sz w:val="24"/>
          <w:szCs w:val="24"/>
        </w:rPr>
        <w:t xml:space="preserve">, il genitore è vincolato a corrispondere l’intero corrispettivo dovuto al </w:t>
      </w:r>
      <w:r>
        <w:rPr>
          <w:rFonts w:eastAsia="Batang;바탕" w:cs="Times New Roman"/>
          <w:b/>
          <w:bCs/>
          <w:sz w:val="24"/>
          <w:szCs w:val="24"/>
          <w:shd w:fill="auto" w:val="clear"/>
        </w:rPr>
        <w:t>gestore</w:t>
      </w:r>
      <w:r>
        <w:rPr>
          <w:rFonts w:eastAsia="Batang;바탕" w:cs="Times New Roman"/>
          <w:b/>
          <w:bCs/>
          <w:color w:val="000000"/>
          <w:sz w:val="24"/>
          <w:szCs w:val="24"/>
          <w:shd w:fill="auto" w:val="clear"/>
        </w:rPr>
        <w:t xml:space="preserve"> per il servizio richiesto.</w:t>
      </w:r>
    </w:p>
    <w:p>
      <w:pPr>
        <w:pStyle w:val="BodyText"/>
        <w:spacing w:lineRule="auto" w:line="276"/>
        <w:ind w:hanging="0" w:left="0" w:right="0"/>
        <w:jc w:val="both"/>
        <w:rPr/>
      </w:pPr>
      <w:r>
        <w:rPr/>
      </w:r>
    </w:p>
    <w:p>
      <w:pPr>
        <w:pStyle w:val="BodyText"/>
        <w:spacing w:lineRule="auto" w:line="276" w:before="120" w:after="0"/>
        <w:ind w:hanging="0" w:left="0" w:right="0"/>
        <w:jc w:val="both"/>
        <w:rPr/>
      </w:pPr>
      <w:r>
        <w:rPr>
          <w:rFonts w:eastAsia="Batang;바탕" w:cs="Times New Roman"/>
          <w:b/>
          <w:bCs/>
          <w:sz w:val="24"/>
          <w:szCs w:val="24"/>
          <w:u w:val="single"/>
        </w:rPr>
        <w:t>Art. 9 Rinuncia al servizio</w:t>
      </w:r>
    </w:p>
    <w:p>
      <w:pPr>
        <w:pStyle w:val="BodyText"/>
        <w:keepLines/>
        <w:widowControl/>
        <w:numPr>
          <w:ilvl w:val="0"/>
          <w:numId w:val="0"/>
        </w:numPr>
        <w:suppressAutoHyphens w:val="true"/>
        <w:overflowPunct w:val="false"/>
        <w:bidi w:val="0"/>
        <w:spacing w:lineRule="auto" w:line="276" w:before="240" w:after="0"/>
        <w:ind w:hanging="0" w:left="0" w:right="0"/>
        <w:jc w:val="both"/>
        <w:rPr/>
      </w:pPr>
      <w:r>
        <w:rPr>
          <w:rFonts w:eastAsia="Batang;바탕" w:cs="Times New Roman"/>
          <w:b w:val="false"/>
          <w:bCs w:val="false"/>
          <w:i w:val="false"/>
          <w:iCs w:val="false"/>
          <w:sz w:val="24"/>
          <w:szCs w:val="24"/>
          <w:shd w:fill="auto" w:val="clear"/>
        </w:rPr>
        <w:t xml:space="preserve">Il genitore che intende rinunciare al servizio deve comunicarlo al Comune di Cesenatico </w:t>
      </w:r>
      <w:r>
        <w:rPr>
          <w:rFonts w:eastAsia="Batang;바탕" w:cs="Times New Roman"/>
          <w:b/>
          <w:bCs/>
          <w:i w:val="false"/>
          <w:iCs w:val="false"/>
          <w:sz w:val="24"/>
          <w:szCs w:val="24"/>
          <w:shd w:fill="auto" w:val="clear"/>
        </w:rPr>
        <w:t>entro il</w:t>
      </w:r>
      <w:r>
        <w:rPr>
          <w:rFonts w:eastAsia="Batang;바탕" w:cs="Times New Roman"/>
          <w:b w:val="false"/>
          <w:bCs w:val="false"/>
          <w:i w:val="false"/>
          <w:iCs w:val="false"/>
          <w:sz w:val="24"/>
          <w:szCs w:val="24"/>
          <w:shd w:fill="auto" w:val="clear"/>
        </w:rPr>
        <w:t xml:space="preserve"> </w:t>
      </w:r>
      <w:r>
        <w:rPr>
          <w:rFonts w:eastAsia="Batang;바탕" w:cs="Times New Roman"/>
          <w:b/>
          <w:bCs/>
          <w:i w:val="false"/>
          <w:iCs w:val="false"/>
          <w:sz w:val="24"/>
          <w:szCs w:val="24"/>
          <w:shd w:fill="auto" w:val="clear"/>
        </w:rPr>
        <w:t xml:space="preserve">termine indicato nella comunicazione di accoglimento </w:t>
      </w:r>
      <w:r>
        <w:rPr>
          <w:rFonts w:eastAsia="Batang;바탕" w:cs="Times New Roman"/>
          <w:b w:val="false"/>
          <w:bCs w:val="false"/>
          <w:i w:val="false"/>
          <w:iCs w:val="false"/>
          <w:sz w:val="24"/>
          <w:szCs w:val="24"/>
          <w:shd w:fill="auto" w:val="clear"/>
        </w:rPr>
        <w:t xml:space="preserve">della domanda di iscrizione </w:t>
      </w:r>
      <w:r>
        <w:rPr>
          <w:rFonts w:eastAsia="Batang;바탕" w:cs="Times New Roman"/>
          <w:b w:val="false"/>
          <w:bCs w:val="false"/>
          <w:i w:val="false"/>
          <w:iCs w:val="false"/>
          <w:color w:val="000000"/>
          <w:sz w:val="24"/>
          <w:szCs w:val="24"/>
          <w:shd w:fill="auto" w:val="clear"/>
          <w:lang w:val="it-IT" w:eastAsia="zh-CN" w:bidi="ar-SA"/>
        </w:rPr>
        <w:t>al centro estivo</w:t>
      </w:r>
      <w:r>
        <w:rPr>
          <w:rFonts w:eastAsia="Batang;바탕" w:cs="Times New Roman"/>
          <w:b w:val="false"/>
          <w:bCs w:val="false"/>
          <w:i w:val="false"/>
          <w:iCs w:val="false"/>
          <w:sz w:val="24"/>
          <w:szCs w:val="24"/>
          <w:shd w:fill="auto" w:val="clear"/>
        </w:rPr>
        <w:t>, compilando l’apposito modulo di ritiro dal servizio, da inviare a servizioscuola@comune.cesenatico.fc.it.</w:t>
      </w:r>
    </w:p>
    <w:p>
      <w:pPr>
        <w:pStyle w:val="BodyText"/>
        <w:numPr>
          <w:ilvl w:val="0"/>
          <w:numId w:val="0"/>
        </w:numPr>
        <w:spacing w:lineRule="auto" w:line="276" w:before="240" w:after="0"/>
        <w:ind w:hanging="0" w:left="0" w:right="0"/>
        <w:jc w:val="both"/>
        <w:rPr/>
      </w:pPr>
      <w:r>
        <w:rPr>
          <w:rFonts w:eastAsia="Batang;바탕" w:cs="Times New Roman"/>
          <w:b/>
          <w:bCs/>
          <w:i w:val="false"/>
          <w:iCs w:val="false"/>
          <w:sz w:val="24"/>
          <w:szCs w:val="24"/>
          <w:u w:val="single"/>
          <w:shd w:fill="auto" w:val="clear"/>
        </w:rPr>
        <w:t>Art. 10 Ritiro a servizio già avviato</w:t>
      </w:r>
    </w:p>
    <w:p>
      <w:pPr>
        <w:pStyle w:val="BodyText"/>
        <w:keepLines/>
        <w:spacing w:lineRule="auto" w:line="276" w:before="0" w:after="0"/>
        <w:ind w:hanging="0" w:left="0" w:right="0"/>
        <w:jc w:val="both"/>
        <w:rPr>
          <w:rFonts w:eastAsia="Batang;바탕" w:cs="Times New Roman"/>
          <w:sz w:val="24"/>
          <w:szCs w:val="24"/>
        </w:rPr>
      </w:pPr>
      <w:r>
        <w:rPr/>
      </w:r>
    </w:p>
    <w:p>
      <w:pPr>
        <w:pStyle w:val="BodyText"/>
        <w:spacing w:lineRule="auto" w:line="276" w:before="0" w:after="0"/>
        <w:ind w:hanging="0" w:left="0" w:right="0"/>
        <w:jc w:val="both"/>
        <w:rPr/>
      </w:pPr>
      <w:r>
        <w:rPr>
          <w:rFonts w:eastAsia="Batang;바탕" w:cs="Times New Roman"/>
          <w:sz w:val="24"/>
          <w:szCs w:val="24"/>
        </w:rPr>
        <w:t xml:space="preserve">A servizio già avviato, il ritiro del bambino, anche per uno solo dei mesi o per n. 2 settimane nello stesso mese richiesti, comporterà comunque il pagamento della quota stabilita salvo diversa disposizione dirigenziale prevista per i seguenti casi: </w:t>
      </w:r>
    </w:p>
    <w:p>
      <w:pPr>
        <w:pStyle w:val="BodyText"/>
        <w:keepLines/>
        <w:spacing w:lineRule="auto" w:line="276" w:before="0" w:after="0"/>
        <w:ind w:hanging="0" w:left="0" w:right="0"/>
        <w:jc w:val="both"/>
        <w:rPr>
          <w:rFonts w:ascii="Times New Roman" w:hAnsi="Times New Roman" w:eastAsia="Batang;바탕" w:cs="Times New Roman"/>
          <w:sz w:val="24"/>
          <w:szCs w:val="24"/>
        </w:rPr>
      </w:pPr>
      <w:r>
        <w:rPr>
          <w:rFonts w:eastAsia="Batang;바탕" w:cs="Times New Roman"/>
          <w:sz w:val="24"/>
          <w:szCs w:val="24"/>
        </w:rPr>
      </w:r>
    </w:p>
    <w:p>
      <w:pPr>
        <w:pStyle w:val="BodyText"/>
        <w:keepLines/>
        <w:numPr>
          <w:ilvl w:val="0"/>
          <w:numId w:val="5"/>
        </w:numPr>
        <w:spacing w:lineRule="auto" w:line="360" w:before="0" w:after="0"/>
        <w:jc w:val="both"/>
        <w:rPr/>
      </w:pPr>
      <w:r>
        <w:rPr>
          <w:rFonts w:eastAsia="Batang;바탕" w:cs="Times New Roman"/>
          <w:i/>
          <w:sz w:val="24"/>
          <w:szCs w:val="24"/>
        </w:rPr>
        <w:t>mancato inserimento del bambino attestato per iscritto dal coordinatore/responsabile del CRE;</w:t>
      </w:r>
    </w:p>
    <w:p>
      <w:pPr>
        <w:pStyle w:val="BodyText"/>
        <w:keepLines/>
        <w:numPr>
          <w:ilvl w:val="0"/>
          <w:numId w:val="5"/>
        </w:numPr>
        <w:spacing w:lineRule="auto" w:line="360" w:before="0" w:after="0"/>
        <w:jc w:val="both"/>
        <w:rPr/>
      </w:pPr>
      <w:r>
        <w:rPr>
          <w:rFonts w:eastAsia="Batang;바탕" w:cs="Times New Roman"/>
          <w:i/>
          <w:sz w:val="24"/>
          <w:szCs w:val="24"/>
        </w:rPr>
        <w:t>malattia prolungata del bambino tale da compromettere la frequenza al centro attestata dal pediatra del bambino</w:t>
      </w:r>
    </w:p>
    <w:p>
      <w:pPr>
        <w:pStyle w:val="BodyText"/>
        <w:keepLines/>
        <w:numPr>
          <w:ilvl w:val="0"/>
          <w:numId w:val="5"/>
        </w:numPr>
        <w:spacing w:lineRule="auto" w:line="360" w:before="0" w:after="0"/>
        <w:jc w:val="both"/>
        <w:rPr/>
      </w:pPr>
      <w:r>
        <w:rPr>
          <w:rFonts w:eastAsia="Batang;바탕" w:cs="Times New Roman"/>
          <w:i/>
          <w:sz w:val="24"/>
          <w:szCs w:val="24"/>
        </w:rPr>
        <w:t xml:space="preserve">il caso in cui il posto possa essere ricoperto da altro utente. </w:t>
      </w:r>
    </w:p>
    <w:p>
      <w:pPr>
        <w:pStyle w:val="BodyText"/>
        <w:keepLines/>
        <w:spacing w:lineRule="auto" w:line="276" w:before="0" w:after="0"/>
        <w:ind w:hanging="0" w:left="0" w:right="0"/>
        <w:jc w:val="both"/>
        <w:rPr>
          <w:rFonts w:ascii="Times New Roman" w:hAnsi="Times New Roman" w:eastAsia="Batang;바탕" w:cs="Times New Roman"/>
          <w:i/>
          <w:i/>
          <w:sz w:val="24"/>
          <w:szCs w:val="24"/>
        </w:rPr>
      </w:pPr>
      <w:r>
        <w:rPr>
          <w:rFonts w:eastAsia="Batang;바탕" w:cs="Times New Roman"/>
          <w:i/>
          <w:sz w:val="24"/>
          <w:szCs w:val="24"/>
        </w:rPr>
      </w:r>
    </w:p>
    <w:p>
      <w:pPr>
        <w:pStyle w:val="BodyText"/>
        <w:keepLines/>
        <w:spacing w:lineRule="auto" w:line="276" w:before="0" w:after="0"/>
        <w:ind w:hanging="0" w:left="0" w:right="0"/>
        <w:jc w:val="both"/>
        <w:rPr/>
      </w:pPr>
      <w:r>
        <w:rPr>
          <w:rFonts w:eastAsia="Batang;바탕" w:cs="Times New Roman"/>
          <w:sz w:val="24"/>
          <w:szCs w:val="24"/>
          <w:shd w:fill="auto" w:val="clear"/>
        </w:rPr>
        <w:t>Nelle sole ipotesi di cui alla lettera a), b) e c) sarà corrisposto un rimborso della tariffa, proporzionato al periodo effettivamente usufruito.</w:t>
      </w:r>
    </w:p>
    <w:p>
      <w:pPr>
        <w:pStyle w:val="Normal"/>
        <w:spacing w:lineRule="auto" w:line="276" w:before="240" w:after="120"/>
        <w:ind w:hanging="0" w:left="0" w:right="0"/>
        <w:jc w:val="both"/>
        <w:rPr/>
      </w:pPr>
      <w:r>
        <w:rPr>
          <w:rFonts w:eastAsia="Batang;바탕"/>
          <w:b/>
          <w:sz w:val="24"/>
          <w:szCs w:val="24"/>
          <w:u w:val="double"/>
        </w:rPr>
        <w:t>Art. 1</w:t>
      </w:r>
      <w:r>
        <w:rPr>
          <w:rFonts w:eastAsia="Batang;바탕" w:cs="Times New Roman"/>
          <w:b/>
          <w:color w:val="auto"/>
          <w:sz w:val="24"/>
          <w:szCs w:val="24"/>
          <w:u w:val="double"/>
          <w:lang w:val="it-IT" w:eastAsia="zh-CN" w:bidi="ar-SA"/>
        </w:rPr>
        <w:t>1</w:t>
      </w:r>
      <w:r>
        <w:rPr>
          <w:rFonts w:eastAsia="Batang;바탕"/>
          <w:b/>
          <w:sz w:val="24"/>
          <w:szCs w:val="24"/>
          <w:u w:val="double"/>
        </w:rPr>
        <w:t xml:space="preserve"> Servizio di trasporto</w:t>
      </w:r>
    </w:p>
    <w:p>
      <w:pPr>
        <w:pStyle w:val="Normal"/>
        <w:spacing w:lineRule="auto" w:line="276" w:before="40" w:after="40"/>
        <w:jc w:val="both"/>
        <w:rPr>
          <w:rFonts w:eastAsia="Batang;바탕"/>
          <w:sz w:val="24"/>
          <w:szCs w:val="24"/>
        </w:rPr>
      </w:pPr>
      <w:r>
        <w:rPr>
          <w:rFonts w:eastAsia="Batang;바탕"/>
          <w:sz w:val="24"/>
          <w:szCs w:val="24"/>
        </w:rPr>
        <w:t xml:space="preserve">L’Ufficio infanzia e scuola, sulla base delle ammissioni al CRE e delle richieste pervenute, valuterà l’istituzione di un servizio di trasporto da punti di fermata ai centri ricreativi estivi e ritorno. </w:t>
      </w:r>
    </w:p>
    <w:p>
      <w:pPr>
        <w:pStyle w:val="Normal"/>
        <w:spacing w:lineRule="auto" w:line="276" w:before="40" w:after="40"/>
        <w:jc w:val="both"/>
        <w:rPr>
          <w:rFonts w:eastAsia="Batang;바탕"/>
          <w:sz w:val="24"/>
          <w:szCs w:val="24"/>
        </w:rPr>
      </w:pPr>
      <w:r>
        <w:rPr>
          <w:rFonts w:eastAsia="Batang;바탕"/>
          <w:sz w:val="24"/>
          <w:szCs w:val="24"/>
        </w:rPr>
        <w:t xml:space="preserve">Percorso ed orari di servizio saranno resi noti prima dell’apertura dei Centri estivi. </w:t>
      </w:r>
    </w:p>
    <w:p>
      <w:pPr>
        <w:pStyle w:val="BodyText"/>
        <w:keepLines/>
        <w:spacing w:lineRule="auto" w:line="276" w:before="0" w:after="0"/>
        <w:ind w:hanging="0" w:left="0" w:right="0"/>
        <w:rPr/>
      </w:pPr>
      <w:r>
        <w:rPr>
          <w:rFonts w:eastAsia="Batang;바탕" w:cs="Times New Roman"/>
          <w:sz w:val="24"/>
          <w:szCs w:val="24"/>
        </w:rPr>
        <w:t xml:space="preserve">Per il </w:t>
      </w:r>
      <w:r>
        <w:rPr>
          <w:rFonts w:eastAsia="Batang;바탕" w:cs="Times New Roman"/>
          <w:b/>
          <w:sz w:val="24"/>
          <w:szCs w:val="24"/>
        </w:rPr>
        <w:t>servizio di trasporto</w:t>
      </w:r>
      <w:r>
        <w:rPr>
          <w:rFonts w:eastAsia="Batang;바탕" w:cs="Times New Roman"/>
          <w:sz w:val="24"/>
          <w:szCs w:val="24"/>
        </w:rPr>
        <w:t xml:space="preserve"> </w:t>
      </w:r>
      <w:r>
        <w:rPr>
          <w:rFonts w:eastAsia="Batang;바탕" w:cs="Times New Roman"/>
          <w:b/>
          <w:sz w:val="24"/>
          <w:szCs w:val="24"/>
        </w:rPr>
        <w:t xml:space="preserve">ai centri ricreativi estivi </w:t>
      </w:r>
      <w:r>
        <w:rPr>
          <w:rFonts w:eastAsia="Batang;바탕" w:cs="Times New Roman"/>
          <w:sz w:val="24"/>
          <w:szCs w:val="24"/>
        </w:rPr>
        <w:t xml:space="preserve">è dovuto un corrispettivo mensile </w:t>
      </w:r>
      <w:r>
        <w:rPr>
          <w:rFonts w:eastAsia="Batang;바탕" w:cs="Times New Roman"/>
          <w:sz w:val="24"/>
          <w:szCs w:val="24"/>
          <w:shd w:fill="auto" w:val="clear"/>
        </w:rPr>
        <w:t xml:space="preserve">di </w:t>
      </w:r>
      <w:r>
        <w:rPr>
          <w:rFonts w:eastAsia="Batang;바탕" w:cs="Times New Roman"/>
          <w:b/>
          <w:sz w:val="24"/>
          <w:szCs w:val="24"/>
          <w:shd w:fill="auto" w:val="clear"/>
        </w:rPr>
        <w:t xml:space="preserve">€ </w:t>
      </w:r>
      <w:r>
        <w:rPr>
          <w:rFonts w:eastAsia="Batang;바탕" w:cs="Times New Roman"/>
          <w:b/>
          <w:color w:val="000000"/>
          <w:sz w:val="24"/>
          <w:szCs w:val="24"/>
          <w:shd w:fill="auto" w:val="clear"/>
          <w:lang w:val="it-IT" w:eastAsia="zh-CN" w:bidi="ar-SA"/>
        </w:rPr>
        <w:t>32,85</w:t>
      </w:r>
      <w:r>
        <w:rPr>
          <w:rFonts w:eastAsia="Batang;바탕" w:cs="Times New Roman"/>
          <w:sz w:val="24"/>
          <w:szCs w:val="24"/>
          <w:shd w:fill="auto" w:val="clear"/>
        </w:rPr>
        <w:t xml:space="preserve"> o </w:t>
      </w:r>
      <w:r>
        <w:rPr>
          <w:rFonts w:eastAsia="Batang;바탕" w:cs="Times New Roman"/>
          <w:b/>
          <w:sz w:val="24"/>
          <w:szCs w:val="24"/>
          <w:shd w:fill="auto" w:val="clear"/>
        </w:rPr>
        <w:t xml:space="preserve">€ </w:t>
      </w:r>
      <w:r>
        <w:rPr>
          <w:rFonts w:eastAsia="Batang;바탕" w:cs="Times New Roman"/>
          <w:b/>
          <w:color w:val="000000"/>
          <w:sz w:val="24"/>
          <w:szCs w:val="24"/>
          <w:shd w:fill="auto" w:val="clear"/>
          <w:lang w:val="it-IT" w:eastAsia="zh-CN" w:bidi="ar-SA"/>
        </w:rPr>
        <w:t>16,43</w:t>
      </w:r>
      <w:r>
        <w:rPr>
          <w:rFonts w:eastAsia="Batang;바탕" w:cs="Times New Roman"/>
          <w:sz w:val="24"/>
          <w:szCs w:val="24"/>
          <w:shd w:fill="auto" w:val="clear"/>
        </w:rPr>
        <w:t xml:space="preserve"> per il servizio di due settimane nello stesso mese. </w:t>
      </w:r>
    </w:p>
    <w:p>
      <w:pPr>
        <w:pStyle w:val="BodyText"/>
        <w:keepLines/>
        <w:spacing w:lineRule="auto" w:line="276" w:before="0" w:after="0"/>
        <w:ind w:hanging="0" w:left="0" w:right="0"/>
        <w:jc w:val="both"/>
        <w:rPr/>
      </w:pPr>
      <w:r>
        <w:rPr>
          <w:rFonts w:eastAsia="Batang;바탕" w:cs="Times New Roman"/>
          <w:sz w:val="24"/>
          <w:szCs w:val="24"/>
        </w:rPr>
        <w:t>Non sono previste altre riduzioni di tariffa (ad esempio per utilizzi parziali del servizio di trasporto, solo andata o solo ritorno).</w:t>
      </w:r>
    </w:p>
    <w:p>
      <w:pPr>
        <w:pStyle w:val="BodyText"/>
        <w:keepLines/>
        <w:spacing w:lineRule="auto" w:line="276" w:before="0" w:after="0"/>
        <w:ind w:hanging="0" w:left="0" w:right="0"/>
        <w:jc w:val="both"/>
        <w:rPr/>
      </w:pPr>
      <w:r>
        <w:rPr>
          <w:rFonts w:eastAsia="Batang;바탕" w:cs="Times New Roman"/>
          <w:b/>
          <w:bCs/>
          <w:sz w:val="24"/>
          <w:szCs w:val="24"/>
        </w:rPr>
        <w:t>Anche per il servizio di trasporto ai centri estivi comunali le famiglie dovranno corrispondere anticipatamente la retta stabilita per il trasporto entro il termine indicato nella comunicazione di accoglimento al trasporto</w:t>
      </w:r>
      <w:r>
        <w:rPr>
          <w:rFonts w:eastAsia="Batang;바탕" w:cs="Times New Roman"/>
          <w:b/>
          <w:bCs/>
          <w:sz w:val="24"/>
          <w:szCs w:val="24"/>
          <w:u w:val="none"/>
        </w:rPr>
        <w:t>.</w:t>
      </w:r>
    </w:p>
    <w:p>
      <w:pPr>
        <w:pStyle w:val="BodyText"/>
        <w:spacing w:lineRule="auto" w:line="276" w:before="0" w:after="0"/>
        <w:ind w:hanging="0" w:left="0" w:right="0"/>
        <w:jc w:val="both"/>
        <w:rPr/>
      </w:pPr>
      <w:r>
        <w:rPr>
          <w:rFonts w:eastAsia="Batang;바탕" w:cs="Times New Roman"/>
          <w:b w:val="false"/>
          <w:bCs w:val="false"/>
          <w:i w:val="false"/>
          <w:iCs w:val="false"/>
          <w:sz w:val="24"/>
          <w:szCs w:val="24"/>
          <w:u w:val="none"/>
          <w:shd w:fill="auto" w:val="clear"/>
        </w:rPr>
        <w:t xml:space="preserve">Il genitore che intende rinunciare al servizio di trasporto deve comunicarlo al Comune di Cesenatico entro il termine indicato nella comunicazione di accoglimento al </w:t>
      </w:r>
      <w:r>
        <w:rPr>
          <w:rFonts w:eastAsia="Batang;바탕" w:cs="Times New Roman"/>
          <w:b w:val="false"/>
          <w:bCs w:val="false"/>
          <w:i w:val="false"/>
          <w:iCs w:val="false"/>
          <w:strike w:val="false"/>
          <w:dstrike w:val="false"/>
          <w:sz w:val="24"/>
          <w:szCs w:val="24"/>
          <w:u w:val="none"/>
          <w:shd w:fill="auto" w:val="clear"/>
        </w:rPr>
        <w:t>trasporto, compilando</w:t>
      </w:r>
      <w:r>
        <w:rPr>
          <w:rFonts w:eastAsia="Batang;바탕" w:cs="Times New Roman"/>
          <w:b w:val="false"/>
          <w:bCs w:val="false"/>
          <w:i w:val="false"/>
          <w:iCs w:val="false"/>
          <w:sz w:val="24"/>
          <w:szCs w:val="24"/>
          <w:u w:val="none"/>
          <w:shd w:fill="auto" w:val="clear"/>
        </w:rPr>
        <w:t xml:space="preserve"> l’apposito modulo di ritiro dal servizio, da inviare a servizioscuola@comune.cesenatico.fc.it.</w:t>
      </w:r>
    </w:p>
    <w:p>
      <w:pPr>
        <w:pStyle w:val="BodyText"/>
        <w:keepLines/>
        <w:spacing w:lineRule="auto" w:line="276" w:before="120" w:after="0"/>
        <w:ind w:hanging="0" w:left="0" w:right="0"/>
        <w:jc w:val="both"/>
        <w:rPr/>
      </w:pPr>
      <w:r>
        <w:rPr>
          <w:rFonts w:eastAsia="Batang;바탕" w:cs="Times New Roman"/>
          <w:color w:val="000000"/>
          <w:sz w:val="24"/>
          <w:szCs w:val="24"/>
          <w:shd w:fill="auto" w:val="clear"/>
        </w:rPr>
        <w:t>Nel caso di ritardo immotivato nel pagamento del servizio di trasporto nel termine indicato nella comunicazione di accoglimento al trasporto, il genitore è vincolato a corrispondere l’intero corrispettivo dovuto al  titolare del servizio (Comune di Cesenatico).</w:t>
      </w:r>
    </w:p>
    <w:p>
      <w:pPr>
        <w:pStyle w:val="BodyText"/>
        <w:keepLines/>
        <w:spacing w:lineRule="auto" w:line="276"/>
        <w:ind w:hanging="0" w:left="0" w:right="0"/>
        <w:jc w:val="both"/>
        <w:rPr/>
      </w:pPr>
      <w:r>
        <w:rPr>
          <w:rFonts w:cs="Times New Roman"/>
          <w:sz w:val="24"/>
          <w:szCs w:val="24"/>
        </w:rPr>
        <w:t xml:space="preserve">Chi utilizza il trasporto è tenuto ad osservare le regole vigenti nei servizi di trasporto pubblico, rispettando il mezzo di locomozione e le persone che viaggiano. </w:t>
      </w:r>
    </w:p>
    <w:p>
      <w:pPr>
        <w:pStyle w:val="BodyText"/>
        <w:keepLines/>
        <w:spacing w:lineRule="auto" w:line="276"/>
        <w:ind w:hanging="0" w:left="0" w:right="0"/>
        <w:jc w:val="both"/>
        <w:rPr/>
      </w:pPr>
      <w:r>
        <w:rPr>
          <w:rFonts w:cs="Times New Roman"/>
          <w:sz w:val="24"/>
          <w:szCs w:val="24"/>
        </w:rPr>
        <w:t>Il servizio scolastico comunale ha facoltà di dimettere dal servizio coloro che con il proprio comportamento scorretto creino problemi al servizio stesso ed agli altri fruitori, previa diffida al nucleo familiare di appartenenza.</w:t>
      </w:r>
    </w:p>
    <w:p>
      <w:pPr>
        <w:pStyle w:val="BodyText"/>
        <w:keepLines/>
        <w:spacing w:lineRule="auto" w:line="276"/>
        <w:ind w:hanging="0" w:left="0" w:right="0"/>
        <w:jc w:val="both"/>
        <w:rPr/>
      </w:pPr>
      <w:r>
        <w:rPr>
          <w:rFonts w:cs="Times New Roman"/>
          <w:sz w:val="24"/>
          <w:szCs w:val="24"/>
          <w:shd w:fill="auto" w:val="clear"/>
        </w:rPr>
        <w:t xml:space="preserve">Per una corretta e puntuale fruizione del servizio di trasporto da parte di tutti, occorre che i genitori collaborino alla organizzazione del servizio, in particolare facendo trovare i bambini pronti alla fermata all’orario indicato nella comunicazione relativa al trasporto. </w:t>
      </w:r>
    </w:p>
    <w:p>
      <w:pPr>
        <w:pStyle w:val="BodyText"/>
        <w:spacing w:lineRule="auto" w:line="276"/>
        <w:ind w:hanging="0" w:left="0" w:right="0"/>
        <w:jc w:val="both"/>
        <w:rPr/>
      </w:pPr>
      <w:r>
        <w:rPr>
          <w:rFonts w:cs="Times New Roman"/>
          <w:sz w:val="24"/>
          <w:szCs w:val="24"/>
          <w:shd w:fill="auto" w:val="clear"/>
        </w:rPr>
        <w:t>Il percorso e gli orari, verranno organizzati in modo da non creare disguidi e ritardi inutili al servizio del centro estivo.</w:t>
      </w:r>
    </w:p>
    <w:p>
      <w:pPr>
        <w:pStyle w:val="Normal"/>
        <w:spacing w:lineRule="auto" w:line="276"/>
        <w:jc w:val="both"/>
        <w:rPr/>
      </w:pPr>
      <w:r>
        <w:rPr>
          <w:sz w:val="24"/>
          <w:szCs w:val="24"/>
        </w:rPr>
        <w:t xml:space="preserve">I genitori, </w:t>
      </w:r>
      <w:r>
        <w:rPr>
          <w:sz w:val="24"/>
          <w:szCs w:val="24"/>
          <w:u w:val="single"/>
        </w:rPr>
        <w:t>fatto salvo esplicita autorizzazione all’uso in autonomia del servizio di trasporto rilasciata utilizzando l’apposito modulo disponibile on line</w:t>
      </w:r>
      <w:r>
        <w:rPr>
          <w:sz w:val="24"/>
          <w:szCs w:val="24"/>
        </w:rPr>
        <w:t>, dovranno assicurare che alla fermata stabilita, sia all’andata che al ritorno del bus, saranno personalmente presenti o incaricheranno persona maggiorenne di propria fiducia per accompagnare o accogliere il proprio figlio, assumendosi ogni conseguente responsabilità in caso di mancata personale presenza alla fermata (o di persona di fiducia maggiorenne incaricata).</w:t>
      </w:r>
    </w:p>
    <w:p>
      <w:pPr>
        <w:pStyle w:val="BodyText"/>
        <w:keepLines/>
        <w:spacing w:lineRule="auto" w:line="276" w:before="0" w:after="0"/>
        <w:ind w:hanging="0" w:left="0" w:right="0"/>
        <w:jc w:val="both"/>
        <w:rPr/>
      </w:pPr>
      <w:r>
        <w:rPr>
          <w:rFonts w:eastAsia="Batang;바탕" w:cs="Times New Roman"/>
          <w:sz w:val="24"/>
          <w:szCs w:val="24"/>
        </w:rPr>
        <w:t>Qualora dovessero verificarsi frequentemente disguidi da parte di una stessa famiglia, il bimbo sarà dimesso dal servizio di trasporto.</w:t>
      </w:r>
    </w:p>
    <w:p>
      <w:pPr>
        <w:pStyle w:val="Normal"/>
        <w:keepNext w:val="true"/>
        <w:keepLines/>
        <w:spacing w:lineRule="auto" w:line="276" w:before="240" w:after="120"/>
        <w:ind w:hanging="0" w:left="0" w:right="0"/>
        <w:jc w:val="both"/>
        <w:rPr/>
      </w:pPr>
      <w:r>
        <w:rPr>
          <w:rFonts w:eastAsia="Batang;바탕"/>
          <w:b/>
          <w:sz w:val="24"/>
          <w:szCs w:val="24"/>
          <w:u w:val="double"/>
        </w:rPr>
        <w:t>Art. 1</w:t>
      </w:r>
      <w:r>
        <w:rPr>
          <w:rFonts w:eastAsia="Batang;바탕" w:cs="Times New Roman"/>
          <w:b/>
          <w:color w:val="auto"/>
          <w:sz w:val="24"/>
          <w:szCs w:val="24"/>
          <w:u w:val="double"/>
          <w:lang w:val="it-IT" w:eastAsia="zh-CN" w:bidi="ar-SA"/>
        </w:rPr>
        <w:t>2</w:t>
      </w:r>
      <w:r>
        <w:rPr>
          <w:rFonts w:eastAsia="Batang;바탕"/>
          <w:b/>
          <w:sz w:val="24"/>
          <w:szCs w:val="24"/>
          <w:u w:val="double"/>
        </w:rPr>
        <w:t xml:space="preserve"> Gestione degli inserimenti e delle esclusioni</w:t>
      </w:r>
    </w:p>
    <w:p>
      <w:pPr>
        <w:pStyle w:val="BodyTextIndent"/>
        <w:tabs>
          <w:tab w:val="clear" w:pos="709"/>
          <w:tab w:val="left" w:pos="1134" w:leader="none"/>
        </w:tabs>
        <w:spacing w:lineRule="auto" w:line="276" w:before="60" w:after="60"/>
        <w:ind w:hanging="0" w:left="0" w:right="0"/>
        <w:jc w:val="both"/>
        <w:rPr>
          <w:highlight w:val="none"/>
          <w:shd w:fill="auto" w:val="clear"/>
        </w:rPr>
      </w:pPr>
      <w:r>
        <w:rPr>
          <w:rFonts w:eastAsia="Batang;바탕" w:cs="Times New Roman"/>
          <w:sz w:val="24"/>
          <w:szCs w:val="24"/>
          <w:shd w:fill="auto" w:val="clear"/>
        </w:rPr>
        <w:t>La gestione ordinaria degli inserimenti dei bambini, delle sostituzioni e degli allontanamenti dal Centro Estivo è attribuita alla competenza del Dirigente del Settore 1.</w:t>
      </w:r>
    </w:p>
    <w:p>
      <w:pPr>
        <w:pStyle w:val="BodyTextIndent"/>
        <w:tabs>
          <w:tab w:val="clear" w:pos="709"/>
          <w:tab w:val="left" w:pos="1134" w:leader="none"/>
        </w:tabs>
        <w:spacing w:lineRule="auto" w:line="276" w:before="60" w:after="60"/>
        <w:ind w:hanging="0" w:left="0" w:right="0"/>
        <w:jc w:val="both"/>
        <w:rPr/>
      </w:pPr>
      <w:r>
        <w:rPr>
          <w:rFonts w:eastAsia="Batang;바탕" w:cs="Times New Roman"/>
          <w:sz w:val="24"/>
          <w:szCs w:val="24"/>
        </w:rPr>
        <w:t>L’inadempienza nel versamento della tariffa o il mancato o saltuario utilizzo del servizio, senza giustificazione, rientrano tra i motivi di esclusione e/o dimissione del bambino dal servizio stesso.</w:t>
      </w:r>
    </w:p>
    <w:p>
      <w:pPr>
        <w:pStyle w:val="BodyText"/>
        <w:keepLines/>
        <w:spacing w:lineRule="auto" w:line="276" w:before="0" w:after="0"/>
        <w:ind w:hanging="0" w:left="0" w:right="0"/>
        <w:jc w:val="both"/>
        <w:rPr>
          <w:rFonts w:ascii="Times New Roman" w:hAnsi="Times New Roman" w:eastAsia="Batang;바탕" w:cs="Times New Roman"/>
          <w:b/>
          <w:sz w:val="24"/>
          <w:szCs w:val="24"/>
        </w:rPr>
      </w:pPr>
      <w:r>
        <w:rPr>
          <w:rFonts w:eastAsia="Batang;바탕" w:cs="Times New Roman"/>
          <w:b/>
          <w:sz w:val="24"/>
          <w:szCs w:val="24"/>
        </w:rPr>
      </w:r>
    </w:p>
    <w:p>
      <w:pPr>
        <w:pStyle w:val="BodyText"/>
        <w:spacing w:lineRule="auto" w:line="276" w:before="0" w:after="0"/>
        <w:ind w:hanging="0" w:left="0" w:right="0"/>
        <w:jc w:val="both"/>
        <w:rPr>
          <w:rFonts w:eastAsia="Batang;바탕" w:cs="Times New Roman"/>
          <w:b/>
          <w:sz w:val="24"/>
          <w:szCs w:val="24"/>
        </w:rPr>
      </w:pPr>
      <w:r>
        <w:rPr/>
      </w:r>
    </w:p>
    <w:p>
      <w:pPr>
        <w:pStyle w:val="BodyText"/>
        <w:spacing w:lineRule="auto" w:line="276" w:before="0" w:after="0"/>
        <w:ind w:hanging="0" w:left="0" w:right="0"/>
        <w:jc w:val="both"/>
        <w:rPr>
          <w:rFonts w:eastAsia="Batang;바탕" w:cs="Times New Roman"/>
          <w:b/>
          <w:sz w:val="24"/>
          <w:szCs w:val="24"/>
        </w:rPr>
      </w:pPr>
      <w:r>
        <w:rPr/>
      </w:r>
    </w:p>
    <w:p>
      <w:pPr>
        <w:pStyle w:val="BodyText"/>
        <w:spacing w:lineRule="auto" w:line="276" w:before="0" w:after="0"/>
        <w:ind w:hanging="0" w:left="0" w:right="0"/>
        <w:jc w:val="both"/>
        <w:rPr/>
      </w:pPr>
      <w:r>
        <w:rPr>
          <w:rFonts w:eastAsia="Batang;바탕" w:cs="Times New Roman"/>
          <w:b/>
          <w:sz w:val="24"/>
          <w:szCs w:val="24"/>
        </w:rPr>
        <w:t>A</w:t>
      </w:r>
      <w:r>
        <w:rPr>
          <w:rFonts w:eastAsia="Batang;바탕" w:cs="Times New Roman"/>
          <w:b/>
          <w:sz w:val="24"/>
          <w:szCs w:val="24"/>
          <w:u w:val="double"/>
        </w:rPr>
        <w:t>rt. 1</w:t>
      </w:r>
      <w:r>
        <w:rPr>
          <w:rFonts w:eastAsia="Batang;바탕" w:cs="Times New Roman"/>
          <w:b/>
          <w:color w:val="auto"/>
          <w:sz w:val="24"/>
          <w:szCs w:val="24"/>
          <w:u w:val="double"/>
          <w:lang w:val="it-IT" w:eastAsia="zh-CN" w:bidi="ar-SA"/>
        </w:rPr>
        <w:t>3</w:t>
      </w:r>
      <w:r>
        <w:rPr>
          <w:rFonts w:eastAsia="Batang;바탕" w:cs="Times New Roman"/>
          <w:b/>
          <w:sz w:val="24"/>
          <w:szCs w:val="24"/>
          <w:u w:val="double"/>
        </w:rPr>
        <w:t xml:space="preserve"> Agevolazioni economiche per il pagamento della Retta di frequenza</w:t>
      </w:r>
    </w:p>
    <w:p>
      <w:pPr>
        <w:pStyle w:val="BodyText"/>
        <w:keepLines/>
        <w:spacing w:lineRule="auto" w:line="276" w:before="0" w:after="0"/>
        <w:ind w:hanging="0" w:left="0" w:right="0"/>
        <w:jc w:val="both"/>
        <w:rPr>
          <w:rFonts w:ascii="Times New Roman" w:hAnsi="Times New Roman" w:eastAsia="Batang;바탕" w:cs="Times New Roman"/>
          <w:b/>
          <w:sz w:val="24"/>
          <w:szCs w:val="24"/>
          <w:shd w:fill="FFFF00" w:val="clear"/>
        </w:rPr>
      </w:pPr>
      <w:r>
        <w:rPr>
          <w:rFonts w:eastAsia="Batang;바탕" w:cs="Times New Roman"/>
          <w:b/>
          <w:sz w:val="24"/>
          <w:szCs w:val="24"/>
          <w:shd w:fill="FFFF00" w:val="clear"/>
        </w:rPr>
      </w:r>
    </w:p>
    <w:p>
      <w:pPr>
        <w:pStyle w:val="BodyText"/>
        <w:spacing w:lineRule="auto" w:line="276" w:before="0" w:after="0"/>
        <w:ind w:hanging="0" w:left="0" w:right="0"/>
        <w:jc w:val="both"/>
        <w:rPr/>
      </w:pPr>
      <w:r>
        <w:rPr>
          <w:rFonts w:eastAsia="Batang;바탕" w:cs="Times New Roman"/>
          <w:i w:val="false"/>
          <w:iCs w:val="false"/>
          <w:sz w:val="24"/>
          <w:szCs w:val="24"/>
          <w:u w:val="none"/>
        </w:rPr>
        <w:t xml:space="preserve">Eventuale richiesta di agevolazione per il pagamento della retta può essere avanzata esclusivamente da parte di </w:t>
      </w:r>
      <w:r>
        <w:rPr>
          <w:rFonts w:eastAsia="Batang;바탕" w:cs="Times New Roman"/>
          <w:b/>
          <w:bCs/>
          <w:i/>
          <w:iCs/>
          <w:sz w:val="24"/>
          <w:szCs w:val="24"/>
          <w:u w:val="single"/>
        </w:rPr>
        <w:t>nuclei familiari in carico ai servizi sociali o per bimbi disabili</w:t>
      </w:r>
      <w:r>
        <w:rPr>
          <w:rFonts w:eastAsia="Batang;바탕" w:cs="Times New Roman"/>
          <w:i/>
          <w:iCs/>
          <w:sz w:val="24"/>
          <w:szCs w:val="24"/>
          <w:u w:val="none"/>
        </w:rPr>
        <w:t xml:space="preserve"> </w:t>
      </w:r>
      <w:r>
        <w:rPr>
          <w:rFonts w:eastAsia="Batang;바탕" w:cs="Times New Roman"/>
          <w:sz w:val="24"/>
          <w:szCs w:val="24"/>
          <w:u w:val="none"/>
        </w:rPr>
        <w:t>e dovrà essere presentata nell’apposita sezione della domanda on line di iscrizione al servizio.</w:t>
      </w:r>
      <w:r>
        <w:rPr>
          <w:rFonts w:eastAsia="Batang;바탕" w:cs="Batang;바탕" w:ascii="Batang;바탕" w:hAnsi="Batang;바탕"/>
          <w:u w:val="none"/>
        </w:rPr>
        <w:t xml:space="preserve"> </w:t>
      </w:r>
    </w:p>
    <w:p>
      <w:pPr>
        <w:pStyle w:val="BodyText"/>
        <w:keepLines/>
        <w:spacing w:lineRule="auto" w:line="276" w:before="120" w:after="0"/>
        <w:ind w:hanging="0" w:left="0" w:right="0"/>
        <w:jc w:val="both"/>
        <w:rPr/>
      </w:pPr>
      <w:r>
        <w:rPr>
          <w:rFonts w:eastAsia="Batang;바탕" w:cs="Times New Roman"/>
          <w:sz w:val="24"/>
          <w:szCs w:val="24"/>
        </w:rPr>
        <w:t>A tal proposito si riporta quanto stabilito dal vigente Regolamento comunale per la concessione  di agevolazioni di natura economica nei servizi scolastici (approvato con Deliberazione di C.C. n. 46 del 14 giugno 2016), che all’art. 11 riporta:</w:t>
      </w:r>
    </w:p>
    <w:p>
      <w:pPr>
        <w:pStyle w:val="BodyText"/>
        <w:spacing w:lineRule="auto" w:line="276" w:before="120" w:after="0"/>
        <w:ind w:hanging="0" w:left="0" w:right="0"/>
        <w:jc w:val="both"/>
        <w:rPr/>
      </w:pPr>
      <w:r>
        <w:rPr>
          <w:rFonts w:eastAsia="Batang;바탕" w:cs="Times New Roman"/>
          <w:i/>
          <w:color w:val="auto"/>
          <w:sz w:val="24"/>
          <w:szCs w:val="24"/>
        </w:rPr>
        <w:t>“</w:t>
      </w:r>
      <w:r>
        <w:rPr>
          <w:rFonts w:eastAsia="Batang;바탕" w:cs="Times New Roman"/>
          <w:i/>
          <w:color w:val="auto"/>
          <w:sz w:val="24"/>
          <w:szCs w:val="24"/>
        </w:rPr>
        <w:t xml:space="preserve">Nei servizi appositamente organizzati per agevolare i nuclei familiari i cui componenti siano impegnati in attività lavorativa (nido, centri ricreativi estivi ecc.) il beneficio dell’esenzione o della riduzione della retta di frequenza viene accordato esclusivamente </w:t>
      </w:r>
      <w:r>
        <w:rPr>
          <w:rFonts w:eastAsia="Batang;바탕" w:cs="Times New Roman"/>
          <w:b w:val="false"/>
          <w:bCs w:val="false"/>
          <w:i/>
          <w:iCs/>
          <w:color w:val="auto"/>
          <w:sz w:val="24"/>
          <w:szCs w:val="24"/>
        </w:rPr>
        <w:t>ai casi che siano in carico al servizio sociale del Comune (Unione dei Comuni) ed ai portatori di disabilità</w:t>
      </w:r>
      <w:r>
        <w:rPr>
          <w:rFonts w:eastAsia="Batang;바탕" w:cs="Times New Roman"/>
          <w:i/>
          <w:color w:val="auto"/>
          <w:sz w:val="24"/>
          <w:szCs w:val="24"/>
        </w:rPr>
        <w:t>, quando tuttavia i nuclei familiari medesimi rientrino nelle fasce di I.S.E.E. stabilite dal presente regolamento.”</w:t>
      </w:r>
    </w:p>
    <w:p>
      <w:pPr>
        <w:pStyle w:val="BodyTextIndent"/>
        <w:keepLines/>
        <w:spacing w:lineRule="auto" w:line="276" w:before="60" w:after="0"/>
        <w:ind w:hanging="0" w:left="0" w:right="0"/>
        <w:jc w:val="both"/>
        <w:rPr/>
      </w:pPr>
      <w:r>
        <w:rPr>
          <w:rFonts w:eastAsia="Batang;바탕" w:cs="Times New Roman"/>
          <w:sz w:val="24"/>
          <w:szCs w:val="24"/>
        </w:rPr>
        <w:t>La richiesta di agevolazione, così come l’attestazione ISEE presentata uguale o inferiore alla soglia massima di accesso ai benefici economici in campo scolastico – che ammonta per l’anno 202</w:t>
      </w:r>
      <w:r>
        <w:rPr>
          <w:rFonts w:eastAsia="Batang;바탕" w:cs="Times New Roman"/>
          <w:color w:val="auto"/>
          <w:sz w:val="24"/>
          <w:szCs w:val="24"/>
          <w:lang w:val="it-IT" w:eastAsia="zh-CN" w:bidi="ar-SA"/>
        </w:rPr>
        <w:t>4</w:t>
      </w:r>
      <w:r>
        <w:rPr>
          <w:rFonts w:eastAsia="Batang;바탕" w:cs="Times New Roman"/>
          <w:sz w:val="24"/>
          <w:szCs w:val="24"/>
        </w:rPr>
        <w:t xml:space="preserve"> a </w:t>
      </w:r>
      <w:r>
        <w:rPr>
          <w:rFonts w:eastAsia="Batang;바탕" w:cs="Times New Roman"/>
          <w:b/>
          <w:bCs/>
          <w:sz w:val="24"/>
          <w:szCs w:val="24"/>
        </w:rPr>
        <w:t xml:space="preserve">€ </w:t>
      </w:r>
      <w:r>
        <w:rPr>
          <w:rFonts w:eastAsia="Times New Roman" w:cs="Times New Roman"/>
          <w:b/>
          <w:bCs/>
          <w:color w:val="auto"/>
          <w:sz w:val="24"/>
          <w:szCs w:val="24"/>
          <w:lang w:val="it-IT" w:eastAsia="zh-CN" w:bidi="ar-SA"/>
        </w:rPr>
        <w:t>10.742,63</w:t>
      </w:r>
      <w:r>
        <w:rPr>
          <w:rFonts w:eastAsia="Batang;바탕" w:cs="Times New Roman"/>
          <w:sz w:val="24"/>
          <w:szCs w:val="24"/>
        </w:rPr>
        <w:t>- saranno oggetto dei controlli e verifiche previste dal vigente Regolamento comunale per le agevolazioni economiche in campo scolastico, condotti anche con l’ausilio della Guardia di Finanza in virtù del Protocollo d’intesa approvato con deliberazione di Giunta Comunale n. 413 del 10/11/2011.</w:t>
      </w:r>
    </w:p>
    <w:p>
      <w:pPr>
        <w:pStyle w:val="BodyTextIndent"/>
        <w:spacing w:lineRule="auto" w:line="276" w:before="60" w:after="0"/>
        <w:ind w:hanging="0" w:left="0" w:right="0"/>
        <w:jc w:val="both"/>
        <w:rPr/>
      </w:pPr>
      <w:r>
        <w:rPr/>
      </w:r>
    </w:p>
    <w:p>
      <w:pPr>
        <w:pStyle w:val="BodyText"/>
        <w:keepLines/>
        <w:spacing w:before="0" w:after="0"/>
        <w:ind w:hanging="0" w:left="0" w:right="0"/>
        <w:jc w:val="both"/>
        <w:rPr/>
      </w:pPr>
      <w:r>
        <w:rPr>
          <w:rFonts w:eastAsia="Batang;바탕" w:cs="Times New Roman"/>
          <w:b/>
          <w:sz w:val="24"/>
          <w:szCs w:val="24"/>
          <w:u w:val="double"/>
        </w:rPr>
        <w:t>Art. 1</w:t>
      </w:r>
      <w:r>
        <w:rPr>
          <w:rFonts w:eastAsia="Batang;바탕" w:cs="Times New Roman"/>
          <w:b/>
          <w:color w:val="auto"/>
          <w:sz w:val="24"/>
          <w:szCs w:val="24"/>
          <w:u w:val="double"/>
          <w:lang w:val="it-IT" w:eastAsia="zh-CN" w:bidi="ar-SA"/>
        </w:rPr>
        <w:t>4</w:t>
      </w:r>
      <w:r>
        <w:rPr>
          <w:rFonts w:eastAsia="Batang;바탕" w:cs="Times New Roman"/>
          <w:b/>
          <w:sz w:val="24"/>
          <w:szCs w:val="24"/>
          <w:u w:val="double"/>
        </w:rPr>
        <w:t xml:space="preserve"> Prescrizioni sanitarie</w:t>
      </w:r>
      <w:r>
        <w:rPr>
          <w:rStyle w:val="FootnoteReference"/>
          <w:rFonts w:eastAsia="Batang;바탕" w:cs="Times New Roman"/>
          <w:sz w:val="24"/>
          <w:szCs w:val="24"/>
          <w:u w:val="double"/>
          <w:vertAlign w:val="superscript"/>
        </w:rPr>
        <w:footnoteReference w:id="2"/>
      </w:r>
    </w:p>
    <w:p>
      <w:pPr>
        <w:pStyle w:val="BodyText"/>
        <w:spacing w:before="0" w:after="0"/>
        <w:ind w:hanging="0" w:left="0" w:right="0"/>
        <w:jc w:val="both"/>
        <w:rPr/>
      </w:pPr>
      <w:r>
        <w:rPr/>
      </w:r>
    </w:p>
    <w:p>
      <w:pPr>
        <w:pStyle w:val="BodyText"/>
        <w:keepLines/>
        <w:spacing w:lineRule="auto" w:line="276" w:before="0" w:after="0"/>
        <w:ind w:hanging="0" w:left="0" w:right="0"/>
        <w:jc w:val="both"/>
        <w:rPr/>
      </w:pPr>
      <w:r>
        <w:rPr>
          <w:rFonts w:eastAsia="Batang;바탕" w:cs="Times New Roman"/>
          <w:sz w:val="24"/>
          <w:szCs w:val="24"/>
        </w:rPr>
        <w:t>Le norme igienico-sanitarie sono dettate dal Dipartimento Cure Primarie Settore di Pediatria di Comunità con apposito Prontuario che viene</w:t>
      </w:r>
      <w:r>
        <w:rPr>
          <w:rFonts w:eastAsia="Batang;바탕" w:cs="Times New Roman"/>
          <w:sz w:val="24"/>
          <w:szCs w:val="24"/>
          <w:u w:val="none"/>
        </w:rPr>
        <w:t xml:space="preserve"> allegato (allegato B sub C) </w:t>
      </w:r>
      <w:r>
        <w:rPr>
          <w:rFonts w:eastAsia="Batang;바탕" w:cs="Times New Roman"/>
          <w:sz w:val="24"/>
          <w:szCs w:val="24"/>
        </w:rPr>
        <w:t xml:space="preserve">alla presente Carta dei servizi. </w:t>
      </w:r>
    </w:p>
    <w:p>
      <w:pPr>
        <w:pStyle w:val="BodyText"/>
        <w:spacing w:lineRule="auto" w:line="276" w:before="0" w:after="0"/>
        <w:ind w:hanging="0" w:left="0" w:right="0"/>
        <w:jc w:val="both"/>
        <w:rPr/>
      </w:pPr>
      <w:r>
        <w:rPr>
          <w:rFonts w:eastAsia="Batang;바탕" w:cs="Times New Roman"/>
          <w:sz w:val="24"/>
          <w:szCs w:val="24"/>
        </w:rPr>
        <w:t>Eventuali modifiche allo stesso apportate dal competente Settore di Pediatria di Comunità, saranno adeguate con recepimento da parte del Dirigente del Settore.</w:t>
      </w:r>
    </w:p>
    <w:p>
      <w:pPr>
        <w:pStyle w:val="BodyText"/>
        <w:spacing w:before="0" w:after="0"/>
        <w:ind w:hanging="0" w:left="0" w:right="0"/>
        <w:jc w:val="both"/>
        <w:rPr>
          <w:rFonts w:ascii="Times New Roman" w:hAnsi="Times New Roman" w:eastAsia="Batang;바탕" w:cs="Times New Roman"/>
          <w:b/>
          <w:sz w:val="24"/>
          <w:szCs w:val="24"/>
          <w:u w:val="double"/>
        </w:rPr>
      </w:pPr>
      <w:r>
        <w:rPr>
          <w:rFonts w:eastAsia="Batang;바탕" w:cs="Times New Roman"/>
          <w:b/>
          <w:sz w:val="24"/>
          <w:szCs w:val="24"/>
          <w:u w:val="double"/>
        </w:rPr>
      </w:r>
    </w:p>
    <w:p>
      <w:pPr>
        <w:pStyle w:val="BodyText"/>
        <w:spacing w:before="0" w:after="0"/>
        <w:ind w:hanging="0" w:left="0" w:right="0"/>
        <w:jc w:val="both"/>
        <w:rPr/>
      </w:pPr>
      <w:r>
        <w:rPr>
          <w:rFonts w:eastAsia="Batang;바탕" w:cs="Times New Roman"/>
          <w:b/>
          <w:sz w:val="24"/>
          <w:szCs w:val="24"/>
          <w:u w:val="double"/>
        </w:rPr>
        <w:t>Art. 1</w:t>
      </w:r>
      <w:r>
        <w:rPr>
          <w:rFonts w:eastAsia="Batang;바탕" w:cs="Times New Roman"/>
          <w:b/>
          <w:color w:val="auto"/>
          <w:sz w:val="24"/>
          <w:szCs w:val="24"/>
          <w:u w:val="double"/>
          <w:lang w:val="it-IT" w:eastAsia="zh-CN" w:bidi="ar-SA"/>
        </w:rPr>
        <w:t>5</w:t>
      </w:r>
      <w:r>
        <w:rPr>
          <w:rFonts w:eastAsia="Batang;바탕" w:cs="Times New Roman"/>
          <w:b/>
          <w:sz w:val="24"/>
          <w:szCs w:val="24"/>
          <w:u w:val="double"/>
        </w:rPr>
        <w:t xml:space="preserve"> Gradimento del servizio – coinvolgimento dell’utenza</w:t>
      </w:r>
    </w:p>
    <w:p>
      <w:pPr>
        <w:pStyle w:val="BodyText"/>
        <w:spacing w:before="0" w:after="0"/>
        <w:ind w:hanging="0" w:left="0" w:right="0"/>
        <w:jc w:val="both"/>
        <w:rPr/>
      </w:pPr>
      <w:r>
        <w:rPr/>
      </w:r>
    </w:p>
    <w:p>
      <w:pPr>
        <w:pStyle w:val="BodyText"/>
        <w:spacing w:lineRule="auto" w:line="276" w:before="0" w:after="0"/>
        <w:ind w:hanging="0" w:left="0" w:right="0"/>
        <w:jc w:val="both"/>
        <w:rPr/>
      </w:pPr>
      <w:r>
        <w:rPr>
          <w:rFonts w:eastAsia="Batang;바탕" w:cs="Times New Roman"/>
          <w:sz w:val="24"/>
          <w:szCs w:val="24"/>
        </w:rPr>
        <w:t>Al fine di verificare la qualità e gradimento del servizio da parte dell’utenza, verrà predisposto e consegnato un questionario alle famiglie con bimbi frequentanti.</w:t>
      </w:r>
    </w:p>
    <w:p>
      <w:pPr>
        <w:pStyle w:val="BodyText"/>
        <w:spacing w:lineRule="auto" w:line="276" w:before="0" w:after="0"/>
        <w:ind w:hanging="0" w:left="0" w:right="0"/>
        <w:jc w:val="both"/>
        <w:rPr/>
      </w:pPr>
      <w:r>
        <w:rPr>
          <w:rFonts w:eastAsia="Batang;바탕" w:cs="Times New Roman"/>
          <w:sz w:val="24"/>
          <w:szCs w:val="24"/>
        </w:rPr>
        <w:t>In occasione dell’inizio della frequenza verrà altresì consegnato alle famiglie con bimbi frequentanti un modulo per avanzare reclami o suggerimenti.</w:t>
      </w:r>
    </w:p>
    <w:p>
      <w:pPr>
        <w:pStyle w:val="BodyText"/>
        <w:spacing w:lineRule="auto" w:line="276" w:before="0" w:after="0"/>
        <w:ind w:hanging="0" w:left="0" w:right="0"/>
        <w:jc w:val="both"/>
        <w:rPr/>
      </w:pPr>
      <w:r>
        <w:rPr>
          <w:rFonts w:eastAsia="Batang;바탕" w:cs="Times New Roman"/>
          <w:sz w:val="24"/>
          <w:szCs w:val="24"/>
        </w:rPr>
        <w:t>Al termine del periodo di apertura del servizio, ove i reclami e suggerimenti non abbiano richiesto interventi tempestivi, verrà predisposta una relazione di sintesi da valutare per la futura organizzazione del servizio.</w:t>
      </w:r>
    </w:p>
    <w:p>
      <w:pPr>
        <w:pStyle w:val="BodyText"/>
        <w:spacing w:before="0" w:after="0"/>
        <w:ind w:hanging="0" w:left="0" w:right="0"/>
        <w:jc w:val="both"/>
        <w:rPr>
          <w:rFonts w:ascii="Times New Roman" w:hAnsi="Times New Roman" w:cs="Times New Roman"/>
        </w:rPr>
      </w:pPr>
      <w:r>
        <w:rPr>
          <w:rFonts w:cs="Times New Roman"/>
        </w:rPr>
      </w:r>
    </w:p>
    <w:p>
      <w:pPr>
        <w:pStyle w:val="BodyText"/>
        <w:spacing w:before="0" w:after="0"/>
        <w:ind w:hanging="0" w:left="0" w:right="0"/>
        <w:jc w:val="both"/>
        <w:rPr/>
      </w:pPr>
      <w:r>
        <w:rPr>
          <w:rFonts w:eastAsia="Batang;바탕" w:cs="Times New Roman"/>
          <w:b/>
          <w:sz w:val="24"/>
          <w:szCs w:val="24"/>
          <w:u w:val="single"/>
        </w:rPr>
        <w:t>Art. 1</w:t>
      </w:r>
      <w:r>
        <w:rPr>
          <w:rFonts w:eastAsia="Batang;바탕" w:cs="Times New Roman"/>
          <w:b/>
          <w:color w:val="auto"/>
          <w:sz w:val="24"/>
          <w:szCs w:val="24"/>
          <w:u w:val="single"/>
          <w:lang w:val="it-IT" w:eastAsia="zh-CN" w:bidi="ar-SA"/>
        </w:rPr>
        <w:t>6</w:t>
      </w:r>
      <w:r>
        <w:rPr>
          <w:rFonts w:eastAsia="Batang;바탕" w:cs="Times New Roman"/>
          <w:b/>
          <w:sz w:val="24"/>
          <w:szCs w:val="24"/>
          <w:u w:val="single"/>
        </w:rPr>
        <w:t xml:space="preserve"> Riserva</w:t>
      </w:r>
    </w:p>
    <w:p>
      <w:pPr>
        <w:pStyle w:val="BodyText"/>
        <w:spacing w:before="0" w:after="0"/>
        <w:ind w:hanging="0" w:left="0" w:right="0"/>
        <w:jc w:val="both"/>
        <w:rPr/>
      </w:pPr>
      <w:r>
        <w:rPr/>
      </w:r>
    </w:p>
    <w:p>
      <w:pPr>
        <w:pStyle w:val="BodyText"/>
        <w:spacing w:before="0" w:after="0"/>
        <w:ind w:hanging="0" w:left="0" w:right="0"/>
        <w:jc w:val="both"/>
        <w:rPr/>
      </w:pPr>
      <w:r>
        <w:rPr>
          <w:rFonts w:cs="Times New Roman"/>
          <w:b w:val="false"/>
          <w:bCs w:val="false"/>
          <w:strike w:val="false"/>
          <w:dstrike w:val="false"/>
          <w:sz w:val="24"/>
          <w:szCs w:val="24"/>
        </w:rPr>
        <w:t>Si evidenzia che l’organizzazione dei CRE comunali 202</w:t>
      </w:r>
      <w:r>
        <w:rPr>
          <w:rFonts w:eastAsia="Times New Roman" w:cs="Times New Roman"/>
          <w:b w:val="false"/>
          <w:bCs w:val="false"/>
          <w:strike w:val="false"/>
          <w:dstrike w:val="false"/>
          <w:color w:val="auto"/>
          <w:sz w:val="24"/>
          <w:szCs w:val="24"/>
          <w:lang w:val="it-IT" w:eastAsia="zh-CN" w:bidi="ar-SA"/>
        </w:rPr>
        <w:t>4</w:t>
      </w:r>
      <w:r>
        <w:rPr>
          <w:rFonts w:cs="Times New Roman"/>
          <w:b w:val="false"/>
          <w:bCs w:val="false"/>
          <w:strike w:val="false"/>
          <w:dstrike w:val="false"/>
          <w:sz w:val="24"/>
          <w:szCs w:val="24"/>
        </w:rPr>
        <w:t xml:space="preserve"> potrà essere oggetto di rideterminazione e/o annullamento a seguito di provvedimenti contingenti legati </w:t>
      </w:r>
      <w:r>
        <w:rPr>
          <w:rFonts w:eastAsia="Times New Roman" w:cs="Times New Roman"/>
          <w:b w:val="false"/>
          <w:bCs w:val="false"/>
          <w:strike w:val="false"/>
          <w:dstrike w:val="false"/>
          <w:color w:val="auto"/>
          <w:sz w:val="24"/>
          <w:szCs w:val="24"/>
          <w:lang w:val="it-IT" w:eastAsia="zh-CN" w:bidi="ar-SA"/>
        </w:rPr>
        <w:t>ad eventi di forza maggiore.</w:t>
      </w:r>
    </w:p>
    <w:p>
      <w:pPr>
        <w:pStyle w:val="Normal"/>
        <w:shd w:val="clear" w:fill="FFFFFF"/>
        <w:spacing w:lineRule="exact" w:line="281" w:before="137" w:after="0"/>
        <w:jc w:val="both"/>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r>
    </w:p>
    <w:p>
      <w:pPr>
        <w:pStyle w:val="Normal"/>
        <w:shd w:val="clear" w:fill="FFFFFF"/>
        <w:spacing w:lineRule="exact" w:line="281" w:before="137" w:after="0"/>
        <w:jc w:val="center"/>
        <w:rPr>
          <w:rFonts w:eastAsia="Batang;바탕"/>
          <w:b/>
          <w:sz w:val="32"/>
          <w:szCs w:val="32"/>
        </w:rPr>
      </w:pPr>
      <w:r>
        <w:rPr>
          <w:rFonts w:eastAsia="Batang;바탕"/>
          <w:b/>
          <w:sz w:val="32"/>
          <w:szCs w:val="32"/>
        </w:rPr>
        <w:t>COMUNE DI CESENATICO</w:t>
      </w:r>
    </w:p>
    <w:p>
      <w:pPr>
        <w:pStyle w:val="Normal"/>
        <w:shd w:val="clear" w:fill="FFFFFF"/>
        <w:spacing w:lineRule="exact" w:line="281" w:before="137" w:after="0"/>
        <w:jc w:val="center"/>
        <w:rPr>
          <w:b/>
          <w:sz w:val="24"/>
          <w:szCs w:val="24"/>
        </w:rPr>
      </w:pPr>
      <w:r>
        <w:rPr>
          <w:b/>
          <w:sz w:val="24"/>
          <w:szCs w:val="24"/>
        </w:rPr>
        <w:t>Settore 1</w:t>
      </w:r>
    </w:p>
    <w:p>
      <w:pPr>
        <w:pStyle w:val="Normal"/>
        <w:shd w:val="clear" w:fill="FFFFFF"/>
        <w:spacing w:lineRule="exact" w:line="281" w:before="137" w:after="0"/>
        <w:jc w:val="center"/>
        <w:rPr>
          <w:b/>
          <w:bCs/>
          <w:color w:val="000000"/>
          <w:spacing w:val="2"/>
          <w:sz w:val="24"/>
          <w:szCs w:val="24"/>
        </w:rPr>
      </w:pPr>
      <w:r>
        <w:rPr>
          <w:b/>
          <w:bCs/>
          <w:color w:val="000000"/>
          <w:spacing w:val="2"/>
          <w:sz w:val="24"/>
          <w:szCs w:val="24"/>
        </w:rPr>
        <w:t>SERVIZIO INFANZIA E SCUOLA</w:t>
      </w:r>
    </w:p>
    <w:p>
      <w:pPr>
        <w:pStyle w:val="Normal"/>
        <w:pBdr>
          <w:bottom w:val="single" w:sz="4" w:space="1" w:color="000000"/>
        </w:pBdr>
        <w:shd w:val="clear" w:fill="FFFFFF"/>
        <w:spacing w:lineRule="exact" w:line="281" w:before="137" w:after="0"/>
        <w:jc w:val="center"/>
        <w:rPr>
          <w:bCs/>
          <w:color w:val="000000"/>
          <w:spacing w:val="2"/>
          <w:sz w:val="24"/>
          <w:szCs w:val="24"/>
        </w:rPr>
      </w:pPr>
      <w:r>
        <w:rPr>
          <w:bCs/>
          <w:color w:val="000000"/>
          <w:spacing w:val="2"/>
          <w:sz w:val="24"/>
          <w:szCs w:val="24"/>
        </w:rPr>
        <w:t>Via Armellini n°18/B - 47042 Cesenatico</w:t>
      </w:r>
    </w:p>
    <w:p>
      <w:pPr>
        <w:pStyle w:val="Normal"/>
        <w:pBdr>
          <w:bottom w:val="single" w:sz="4" w:space="1" w:color="000000"/>
        </w:pBdr>
        <w:shd w:val="clear" w:fill="FFFFFF"/>
        <w:spacing w:lineRule="exact" w:line="281" w:before="137" w:after="0"/>
        <w:jc w:val="center"/>
        <w:rPr>
          <w:bCs/>
          <w:color w:val="000000"/>
          <w:spacing w:val="2"/>
          <w:sz w:val="24"/>
          <w:szCs w:val="24"/>
        </w:rPr>
      </w:pPr>
      <w:r>
        <w:rPr>
          <w:bCs/>
          <w:color w:val="000000"/>
          <w:spacing w:val="2"/>
          <w:sz w:val="24"/>
          <w:szCs w:val="24"/>
        </w:rPr>
        <w:t>tel. 054779321-229-318</w:t>
      </w:r>
    </w:p>
    <w:p>
      <w:pPr>
        <w:pStyle w:val="Normal"/>
        <w:shd w:val="clear" w:fill="FFFFFF"/>
        <w:spacing w:lineRule="exact" w:line="281" w:before="137" w:after="0"/>
        <w:jc w:val="center"/>
        <w:rPr>
          <w:b/>
          <w:bCs/>
          <w:color w:val="000000"/>
          <w:spacing w:val="2"/>
          <w:sz w:val="24"/>
          <w:szCs w:val="24"/>
        </w:rPr>
      </w:pPr>
      <w:r>
        <w:rPr>
          <w:b/>
          <w:bCs/>
          <w:color w:val="000000"/>
          <w:spacing w:val="2"/>
          <w:sz w:val="24"/>
          <w:szCs w:val="24"/>
        </w:rPr>
        <w:t xml:space="preserve">SERVIZIO CENTRI RICREATIVI ESTIVI </w:t>
      </w:r>
    </w:p>
    <w:p>
      <w:pPr>
        <w:pStyle w:val="Normal"/>
        <w:shd w:val="clear" w:fill="FFFFFF"/>
        <w:spacing w:before="240" w:after="0"/>
        <w:ind w:hanging="0" w:left="11" w:right="0"/>
        <w:jc w:val="center"/>
        <w:rPr>
          <w:b/>
          <w:bCs/>
          <w:color w:val="000000"/>
          <w:spacing w:val="2"/>
          <w:sz w:val="24"/>
          <w:szCs w:val="24"/>
        </w:rPr>
      </w:pPr>
      <w:r>
        <w:rPr>
          <w:b/>
          <w:bCs/>
          <w:color w:val="000000"/>
          <w:spacing w:val="2"/>
          <w:sz w:val="24"/>
          <w:szCs w:val="24"/>
        </w:rPr>
        <w:t>SEGNALAZIONE – RECLAMO</w:t>
      </w:r>
    </w:p>
    <w:p>
      <w:pPr>
        <w:pStyle w:val="Normal"/>
        <w:shd w:val="clear" w:fill="FFFFFF"/>
        <w:spacing w:before="0" w:after="120"/>
        <w:ind w:hanging="0" w:left="11" w:right="0"/>
        <w:jc w:val="center"/>
        <w:rPr/>
      </w:pPr>
      <w:r>
        <w:rPr>
          <w:b/>
          <w:bCs/>
          <w:color w:val="000000"/>
          <w:spacing w:val="2"/>
          <w:sz w:val="24"/>
          <w:szCs w:val="24"/>
        </w:rPr>
        <w:t>(</w:t>
      </w:r>
      <w:r>
        <w:rPr>
          <w:bCs/>
          <w:color w:val="000000"/>
          <w:spacing w:val="2"/>
          <w:sz w:val="24"/>
          <w:szCs w:val="24"/>
        </w:rPr>
        <w:t>da consegnare/trasmettere all’ufficio scuola</w:t>
      </w:r>
      <w:r>
        <w:rPr>
          <w:b/>
          <w:bCs/>
          <w:color w:val="000000"/>
          <w:spacing w:val="2"/>
          <w:sz w:val="24"/>
          <w:szCs w:val="24"/>
        </w:rPr>
        <w:t>)</w:t>
      </w:r>
    </w:p>
    <w:p>
      <w:pPr>
        <w:pStyle w:val="Normal"/>
        <w:rPr>
          <w:sz w:val="24"/>
          <w:szCs w:val="24"/>
        </w:rPr>
      </w:pPr>
      <w:r>
        <w:rPr>
          <w:sz w:val="24"/>
          <w:szCs w:val="24"/>
        </w:rPr>
        <w:t xml:space="preserve">Il presente modulo può essere utilizzato per una segnalazione o un reclamo. </w:t>
      </w:r>
    </w:p>
    <w:p>
      <w:pPr>
        <w:pStyle w:val="Normal"/>
        <w:rPr>
          <w:sz w:val="24"/>
          <w:szCs w:val="24"/>
        </w:rPr>
      </w:pPr>
      <w:r>
        <w:rPr>
          <w:sz w:val="24"/>
          <w:szCs w:val="24"/>
        </w:rPr>
      </w:r>
    </w:p>
    <w:p>
      <w:pPr>
        <w:pStyle w:val="Normal"/>
        <w:rPr>
          <w:sz w:val="24"/>
          <w:szCs w:val="24"/>
        </w:rPr>
      </w:pPr>
      <w:r>
        <w:rPr>
          <w:sz w:val="24"/>
          <w:szCs w:val="24"/>
        </w:rPr>
        <w:t xml:space="preserve">Origine del reclamo: </w:t>
      </w:r>
    </w:p>
    <w:p>
      <w:pPr>
        <w:pStyle w:val="Normal"/>
        <w:numPr>
          <w:ilvl w:val="0"/>
          <w:numId w:val="6"/>
        </w:numPr>
        <w:ind w:hanging="357" w:left="3549" w:right="0"/>
        <w:rPr>
          <w:sz w:val="24"/>
          <w:szCs w:val="24"/>
        </w:rPr>
      </w:pPr>
      <w:r>
        <w:rPr>
          <w:sz w:val="24"/>
          <w:szCs w:val="24"/>
        </w:rPr>
        <w:t>genitori</w:t>
      </w:r>
    </w:p>
    <w:p>
      <w:pPr>
        <w:pStyle w:val="Normal"/>
        <w:numPr>
          <w:ilvl w:val="0"/>
          <w:numId w:val="6"/>
        </w:numPr>
        <w:ind w:hanging="357" w:left="3549" w:right="0"/>
        <w:rPr>
          <w:sz w:val="24"/>
          <w:szCs w:val="24"/>
        </w:rPr>
      </w:pPr>
      <w:r>
        <w:rPr>
          <w:sz w:val="24"/>
          <w:szCs w:val="24"/>
        </w:rPr>
        <w:t>utente</w:t>
      </w:r>
    </w:p>
    <w:p>
      <w:pPr>
        <w:pStyle w:val="Normal"/>
        <w:numPr>
          <w:ilvl w:val="0"/>
          <w:numId w:val="6"/>
        </w:numPr>
        <w:ind w:hanging="357" w:left="3549" w:right="0"/>
        <w:rPr>
          <w:sz w:val="24"/>
          <w:szCs w:val="24"/>
          <w:u w:val="single"/>
        </w:rPr>
      </w:pPr>
      <w:r>
        <w:rPr>
          <w:sz w:val="24"/>
          <w:szCs w:val="24"/>
          <w:u w:val="single"/>
        </w:rPr>
        <w:t>committente</w:t>
      </w:r>
    </w:p>
    <w:p>
      <w:pPr>
        <w:pStyle w:val="Normal"/>
        <w:numPr>
          <w:ilvl w:val="0"/>
          <w:numId w:val="6"/>
        </w:numPr>
        <w:rPr>
          <w:sz w:val="24"/>
          <w:szCs w:val="24"/>
        </w:rPr>
      </w:pPr>
      <w:r>
        <w:rPr>
          <w:sz w:val="24"/>
          <w:szCs w:val="24"/>
        </w:rPr>
        <w:t>personale educativo e ausiliario</w:t>
      </w:r>
    </w:p>
    <w:p>
      <w:pPr>
        <w:pStyle w:val="Normal"/>
        <w:rPr>
          <w:sz w:val="24"/>
          <w:szCs w:val="24"/>
        </w:rPr>
      </w:pPr>
      <w:r>
        <w:rPr>
          <w:sz w:val="24"/>
          <w:szCs w:val="24"/>
        </w:rPr>
        <w:t>rivolto al responsabile:</w:t>
        <w:tab/>
        <w:tab/>
      </w:r>
    </w:p>
    <w:p>
      <w:pPr>
        <w:pStyle w:val="Normal"/>
        <w:numPr>
          <w:ilvl w:val="0"/>
          <w:numId w:val="7"/>
        </w:numPr>
        <w:rPr>
          <w:sz w:val="24"/>
          <w:szCs w:val="24"/>
        </w:rPr>
      </w:pPr>
      <w:r>
        <w:rPr>
          <w:sz w:val="24"/>
          <w:szCs w:val="24"/>
        </w:rPr>
        <w:t>gestionale/amministrativo (responsabile del servizio)</w:t>
      </w:r>
    </w:p>
    <w:p>
      <w:pPr>
        <w:pStyle w:val="Normal"/>
        <w:numPr>
          <w:ilvl w:val="0"/>
          <w:numId w:val="7"/>
        </w:numPr>
        <w:rPr>
          <w:sz w:val="24"/>
          <w:szCs w:val="24"/>
        </w:rPr>
      </w:pPr>
      <w:r>
        <w:rPr>
          <w:sz w:val="24"/>
          <w:szCs w:val="24"/>
        </w:rPr>
        <w:t>pedagogico e didattico (coordinatore  e educatrici)</w:t>
      </w:r>
    </w:p>
    <w:p>
      <w:pPr>
        <w:pStyle w:val="Normal"/>
        <w:rPr>
          <w:sz w:val="24"/>
          <w:szCs w:val="24"/>
        </w:rPr>
      </w:pPr>
      <w:r>
        <w:rPr>
          <w:sz w:val="24"/>
          <w:szCs w:val="24"/>
        </w:rPr>
      </w:r>
    </w:p>
    <w:tbl>
      <w:tblPr>
        <w:tblW w:w="9878" w:type="dxa"/>
        <w:jc w:val="left"/>
        <w:tblInd w:w="-50" w:type="dxa"/>
        <w:tblLayout w:type="fixed"/>
        <w:tblCellMar>
          <w:top w:w="0" w:type="dxa"/>
          <w:left w:w="108" w:type="dxa"/>
          <w:bottom w:w="0" w:type="dxa"/>
          <w:right w:w="108" w:type="dxa"/>
        </w:tblCellMar>
      </w:tblPr>
      <w:tblGrid>
        <w:gridCol w:w="9878"/>
      </w:tblGrid>
      <w:tr>
        <w:trPr/>
        <w:tc>
          <w:tcPr>
            <w:tcW w:w="987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u w:val="single"/>
              </w:rPr>
            </w:pPr>
            <w:r>
              <w:rPr>
                <w:sz w:val="24"/>
                <w:szCs w:val="24"/>
                <w:u w:val="single"/>
              </w:rPr>
              <w:t>Descrizione della situazione</w:t>
            </w:r>
          </w:p>
          <w:p>
            <w:pPr>
              <w:pStyle w:val="Normal"/>
              <w:widowControl w:val="false"/>
              <w:rPr>
                <w:sz w:val="24"/>
                <w:szCs w:val="24"/>
                <w:u w:val="single"/>
              </w:rPr>
            </w:pPr>
            <w:r>
              <w:rPr>
                <w:sz w:val="24"/>
                <w:szCs w:val="24"/>
                <w:u w:val="single"/>
              </w:rPr>
            </w:r>
          </w:p>
          <w:p>
            <w:pPr>
              <w:pStyle w:val="Normal"/>
              <w:widowControl w:val="false"/>
              <w:rPr>
                <w:sz w:val="24"/>
                <w:szCs w:val="24"/>
                <w:u w:val="single"/>
              </w:rPr>
            </w:pPr>
            <w:r>
              <w:rPr>
                <w:sz w:val="24"/>
                <w:szCs w:val="24"/>
                <w:u w:val="single"/>
              </w:rPr>
            </w:r>
          </w:p>
          <w:p>
            <w:pPr>
              <w:pStyle w:val="Normal"/>
              <w:widowControl w:val="false"/>
              <w:rPr>
                <w:sz w:val="24"/>
                <w:szCs w:val="24"/>
                <w:u w:val="single"/>
              </w:rPr>
            </w:pPr>
            <w:r>
              <w:rPr>
                <w:sz w:val="24"/>
                <w:szCs w:val="24"/>
                <w:u w:val="single"/>
              </w:rPr>
            </w:r>
          </w:p>
          <w:p>
            <w:pPr>
              <w:pStyle w:val="Normal"/>
              <w:widowControl w:val="false"/>
              <w:rPr>
                <w:sz w:val="24"/>
                <w:szCs w:val="24"/>
                <w:u w:val="single"/>
              </w:rPr>
            </w:pPr>
            <w:r>
              <w:rPr>
                <w:sz w:val="24"/>
                <w:szCs w:val="24"/>
                <w:u w:val="single"/>
              </w:rPr>
            </w:r>
          </w:p>
          <w:p>
            <w:pPr>
              <w:pStyle w:val="Normal"/>
              <w:widowControl w:val="false"/>
              <w:rPr>
                <w:sz w:val="24"/>
                <w:szCs w:val="24"/>
                <w:u w:val="single"/>
              </w:rPr>
            </w:pPr>
            <w:r>
              <w:rPr>
                <w:sz w:val="24"/>
                <w:szCs w:val="24"/>
                <w:u w:val="single"/>
              </w:rPr>
            </w:r>
          </w:p>
          <w:p>
            <w:pPr>
              <w:pStyle w:val="Normal"/>
              <w:widowControl w:val="false"/>
              <w:rPr>
                <w:sz w:val="24"/>
                <w:szCs w:val="24"/>
                <w:u w:val="single"/>
              </w:rPr>
            </w:pPr>
            <w:r>
              <w:rPr>
                <w:sz w:val="24"/>
                <w:szCs w:val="24"/>
                <w:u w:val="single"/>
              </w:rPr>
            </w:r>
          </w:p>
          <w:p>
            <w:pPr>
              <w:pStyle w:val="Normal"/>
              <w:widowControl w:val="false"/>
              <w:rPr>
                <w:sz w:val="24"/>
                <w:szCs w:val="24"/>
                <w:u w:val="single"/>
              </w:rPr>
            </w:pPr>
            <w:r>
              <w:rPr>
                <w:sz w:val="24"/>
                <w:szCs w:val="24"/>
                <w:u w:val="single"/>
              </w:rPr>
            </w:r>
          </w:p>
          <w:p>
            <w:pPr>
              <w:pStyle w:val="Normal"/>
              <w:widowControl w:val="false"/>
              <w:rPr>
                <w:sz w:val="24"/>
                <w:szCs w:val="24"/>
                <w:u w:val="single"/>
              </w:rPr>
            </w:pPr>
            <w:r>
              <w:rPr>
                <w:sz w:val="24"/>
                <w:szCs w:val="24"/>
                <w:u w:val="single"/>
              </w:rPr>
            </w:r>
          </w:p>
          <w:p>
            <w:pPr>
              <w:pStyle w:val="Normal"/>
              <w:widowControl w:val="false"/>
              <w:rPr>
                <w:sz w:val="24"/>
                <w:szCs w:val="24"/>
                <w:u w:val="single"/>
              </w:rPr>
            </w:pPr>
            <w:r>
              <w:rPr>
                <w:sz w:val="24"/>
                <w:szCs w:val="24"/>
                <w:u w:val="single"/>
              </w:rPr>
            </w:r>
          </w:p>
          <w:p>
            <w:pPr>
              <w:pStyle w:val="Normal"/>
              <w:widowControl w:val="false"/>
              <w:rPr>
                <w:sz w:val="24"/>
                <w:szCs w:val="24"/>
                <w:u w:val="single"/>
              </w:rPr>
            </w:pPr>
            <w:r>
              <w:rPr>
                <w:sz w:val="24"/>
                <w:szCs w:val="24"/>
                <w:u w:val="single"/>
              </w:rPr>
            </w:r>
          </w:p>
          <w:p>
            <w:pPr>
              <w:pStyle w:val="Normal"/>
              <w:widowControl w:val="false"/>
              <w:rPr>
                <w:sz w:val="24"/>
                <w:szCs w:val="24"/>
                <w:u w:val="single"/>
              </w:rPr>
            </w:pPr>
            <w:r>
              <w:rPr>
                <w:sz w:val="24"/>
                <w:szCs w:val="24"/>
                <w:u w:val="single"/>
              </w:rPr>
            </w:r>
          </w:p>
          <w:p>
            <w:pPr>
              <w:pStyle w:val="Normal"/>
              <w:widowControl w:val="false"/>
              <w:rPr>
                <w:sz w:val="24"/>
                <w:szCs w:val="24"/>
                <w:u w:val="single"/>
              </w:rPr>
            </w:pPr>
            <w:r>
              <w:rPr>
                <w:sz w:val="24"/>
                <w:szCs w:val="24"/>
                <w:u w:val="single"/>
              </w:rPr>
            </w:r>
          </w:p>
        </w:tc>
      </w:tr>
    </w:tbl>
    <w:p>
      <w:pPr>
        <w:pStyle w:val="Normal"/>
        <w:spacing w:lineRule="auto" w:line="480" w:before="120" w:after="0"/>
        <w:rPr>
          <w:sz w:val="24"/>
          <w:szCs w:val="24"/>
        </w:rPr>
      </w:pPr>
      <w:r>
        <w:rPr>
          <w:sz w:val="24"/>
          <w:szCs w:val="24"/>
        </w:rPr>
        <w:t>Centro Ricreativo Estivo  _______________________________________________________________________</w:t>
      </w:r>
    </w:p>
    <w:p>
      <w:pPr>
        <w:pStyle w:val="Normal"/>
        <w:spacing w:lineRule="auto" w:line="480"/>
        <w:rPr>
          <w:sz w:val="24"/>
          <w:szCs w:val="24"/>
        </w:rPr>
      </w:pPr>
      <w:r>
        <w:rPr>
          <w:sz w:val="24"/>
          <w:szCs w:val="24"/>
        </w:rPr>
        <w:t>Nome e Cognome del compilatore _________________________________________________________</w:t>
      </w:r>
    </w:p>
    <w:p>
      <w:pPr>
        <w:pStyle w:val="Normal"/>
        <w:spacing w:lineRule="auto" w:line="480"/>
        <w:ind w:hanging="0" w:left="0" w:right="357"/>
        <w:rPr>
          <w:sz w:val="24"/>
          <w:szCs w:val="24"/>
        </w:rPr>
      </w:pPr>
      <w:r>
        <w:rPr>
          <w:sz w:val="24"/>
          <w:szCs w:val="24"/>
        </w:rPr>
        <w:t>Data________________</w:t>
      </w:r>
    </w:p>
    <w:p>
      <w:pPr>
        <w:pStyle w:val="Normal"/>
        <w:pBdr>
          <w:top w:val="single" w:sz="4" w:space="1" w:color="000000"/>
        </w:pBdr>
        <w:ind w:hanging="0" w:left="7080" w:right="0"/>
        <w:rPr>
          <w:sz w:val="24"/>
          <w:szCs w:val="24"/>
        </w:rPr>
      </w:pPr>
      <w:r>
        <w:rPr>
          <w:sz w:val="24"/>
          <w:szCs w:val="24"/>
        </w:rPr>
        <w:t>Firma compilatore</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xml:space="preserve">Da compilare a cura del responsabile: </w:t>
      </w:r>
    </w:p>
    <w:tbl>
      <w:tblPr>
        <w:tblW w:w="9878" w:type="dxa"/>
        <w:jc w:val="left"/>
        <w:tblInd w:w="-50" w:type="dxa"/>
        <w:tblLayout w:type="fixed"/>
        <w:tblCellMar>
          <w:top w:w="0" w:type="dxa"/>
          <w:left w:w="108" w:type="dxa"/>
          <w:bottom w:w="0" w:type="dxa"/>
          <w:right w:w="108" w:type="dxa"/>
        </w:tblCellMar>
      </w:tblPr>
      <w:tblGrid>
        <w:gridCol w:w="9878"/>
      </w:tblGrid>
      <w:tr>
        <w:trPr/>
        <w:tc>
          <w:tcPr>
            <w:tcW w:w="987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soluzione adottata:</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verifica della soluzione adottata:</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Data________________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t>Responsabile ____________________________________</w:t>
            </w:r>
          </w:p>
          <w:p>
            <w:pPr>
              <w:pStyle w:val="Normal"/>
              <w:widowControl w:val="false"/>
              <w:rPr>
                <w:sz w:val="24"/>
                <w:szCs w:val="24"/>
              </w:rPr>
            </w:pPr>
            <w:r>
              <w:rPr>
                <w:sz w:val="24"/>
                <w:szCs w:val="24"/>
              </w:rPr>
            </w:r>
          </w:p>
          <w:p>
            <w:pPr>
              <w:pStyle w:val="Normal"/>
              <w:widowControl w:val="false"/>
              <w:rPr/>
            </w:pPr>
            <w:r>
              <w:rPr>
                <w:sz w:val="24"/>
                <w:szCs w:val="24"/>
              </w:rPr>
              <w:t xml:space="preserve">                                                                                                                </w:t>
            </w:r>
            <w:r>
              <w:rPr>
                <w:sz w:val="24"/>
                <w:szCs w:val="24"/>
              </w:rPr>
              <w:t>Firma __________________________</w:t>
            </w:r>
          </w:p>
          <w:p>
            <w:pPr>
              <w:pStyle w:val="Normal"/>
              <w:widowControl w:val="false"/>
              <w:rPr>
                <w:sz w:val="24"/>
                <w:szCs w:val="24"/>
              </w:rPr>
            </w:pPr>
            <w:r>
              <w:rPr>
                <w:sz w:val="24"/>
                <w:szCs w:val="24"/>
              </w:rPr>
            </w:r>
          </w:p>
        </w:tc>
      </w:tr>
    </w:tbl>
    <w:p>
      <w:pPr>
        <w:pStyle w:val="Normal"/>
        <w:shd w:val="clear" w:fill="FFFFFF"/>
        <w:spacing w:lineRule="exact" w:line="281" w:before="137" w:after="0"/>
        <w:rPr>
          <w:sz w:val="24"/>
          <w:szCs w:val="24"/>
        </w:rPr>
      </w:pPr>
      <w:r>
        <w:rPr>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24"/>
          <w:szCs w:val="24"/>
        </w:rPr>
      </w:pPr>
      <w:r>
        <w:rPr>
          <w:b/>
          <w:bCs/>
          <w:color w:val="000000"/>
          <w:spacing w:val="2"/>
          <w:sz w:val="24"/>
          <w:szCs w:val="24"/>
        </w:rPr>
      </w:r>
    </w:p>
    <w:p>
      <w:pPr>
        <w:pStyle w:val="Normal"/>
        <w:shd w:val="clear" w:fill="FFFFFF"/>
        <w:spacing w:lineRule="exact" w:line="281" w:before="137" w:after="0"/>
        <w:rPr>
          <w:b/>
          <w:bCs/>
          <w:color w:val="000000"/>
          <w:spacing w:val="2"/>
          <w:sz w:val="36"/>
          <w:szCs w:val="36"/>
        </w:rPr>
      </w:pPr>
      <w:r>
        <w:rPr>
          <w:b/>
          <w:bCs/>
          <w:color w:val="000000"/>
          <w:spacing w:val="2"/>
          <w:sz w:val="36"/>
          <w:szCs w:val="36"/>
        </w:rPr>
      </w:r>
    </w:p>
    <w:p>
      <w:pPr>
        <w:pStyle w:val="Normal"/>
        <w:shd w:val="clear" w:fill="FFFFFF"/>
        <w:spacing w:lineRule="exact" w:line="281" w:before="137" w:after="0"/>
        <w:jc w:val="center"/>
        <w:rPr>
          <w:b/>
          <w:bCs/>
          <w:color w:val="000000"/>
          <w:spacing w:val="2"/>
          <w:sz w:val="36"/>
          <w:szCs w:val="36"/>
        </w:rPr>
      </w:pPr>
      <w:r>
        <w:rPr>
          <w:b/>
          <w:bCs/>
          <w:color w:val="000000"/>
          <w:spacing w:val="2"/>
          <w:sz w:val="36"/>
          <w:szCs w:val="36"/>
        </w:rPr>
        <w:t>COMUNE DI CESENATICO</w:t>
      </w:r>
    </w:p>
    <w:p>
      <w:pPr>
        <w:pStyle w:val="Normal"/>
        <w:shd w:val="clear" w:fill="FFFFFF"/>
        <w:spacing w:lineRule="exact" w:line="281" w:before="137" w:after="0"/>
        <w:jc w:val="center"/>
        <w:rPr>
          <w:b/>
          <w:bCs/>
          <w:color w:val="000000"/>
          <w:spacing w:val="2"/>
          <w:sz w:val="24"/>
          <w:szCs w:val="24"/>
        </w:rPr>
      </w:pPr>
      <w:r>
        <w:rPr>
          <w:b/>
          <w:bCs/>
          <w:color w:val="000000"/>
          <w:spacing w:val="2"/>
          <w:sz w:val="24"/>
          <w:szCs w:val="24"/>
        </w:rPr>
        <w:t>SERVIZIO INFANZIA E SCUOLA</w:t>
      </w:r>
    </w:p>
    <w:p>
      <w:pPr>
        <w:pStyle w:val="Normal"/>
        <w:shd w:val="clear" w:fill="FFFFFF"/>
        <w:spacing w:lineRule="exact" w:line="281" w:before="137" w:after="0"/>
        <w:jc w:val="center"/>
        <w:rPr>
          <w:b/>
          <w:bCs/>
          <w:color w:val="000000"/>
          <w:spacing w:val="2"/>
          <w:sz w:val="24"/>
          <w:szCs w:val="24"/>
        </w:rPr>
      </w:pPr>
      <w:r>
        <w:rPr>
          <w:b/>
          <w:bCs/>
          <w:color w:val="000000"/>
          <w:spacing w:val="2"/>
          <w:sz w:val="24"/>
          <w:szCs w:val="24"/>
        </w:rPr>
        <w:t xml:space="preserve">CENTRI RICREATIVI ESTIVI </w:t>
      </w:r>
    </w:p>
    <w:p>
      <w:pPr>
        <w:pStyle w:val="BodyText"/>
        <w:spacing w:before="120" w:after="120"/>
        <w:ind w:hanging="0" w:left="0" w:right="-1134"/>
        <w:jc w:val="center"/>
        <w:rPr>
          <w:rFonts w:ascii="Times New Roman" w:hAnsi="Times New Roman" w:cs="Times New Roman"/>
          <w:color w:val="000000"/>
          <w:sz w:val="24"/>
          <w:szCs w:val="24"/>
        </w:rPr>
      </w:pPr>
      <w:r>
        <w:rPr>
          <w:rFonts w:cs="Times New Roman"/>
          <w:color w:val="000000"/>
          <w:sz w:val="24"/>
          <w:szCs w:val="24"/>
        </w:rPr>
        <w:t>QUESTIONARIO PER LA VALUTAZIONE DELLA QUALITA’ PERCEPITA</w:t>
      </w:r>
    </w:p>
    <w:p>
      <w:pPr>
        <w:pStyle w:val="Normal"/>
        <w:shd w:val="clear" w:fill="FFFFFF"/>
        <w:spacing w:lineRule="exact" w:line="281"/>
        <w:ind w:hanging="0" w:left="14" w:right="0"/>
        <w:jc w:val="center"/>
        <w:rPr>
          <w:rFonts w:cs="Times New Roman"/>
          <w:color w:val="000000"/>
          <w:sz w:val="24"/>
          <w:szCs w:val="24"/>
        </w:rPr>
      </w:pPr>
      <w:r>
        <w:rPr>
          <w:rFonts w:cs="Times New Roman"/>
          <w:color w:val="000000"/>
          <w:sz w:val="24"/>
          <w:szCs w:val="24"/>
        </w:rPr>
      </w:r>
    </w:p>
    <w:p>
      <w:pPr>
        <w:pStyle w:val="Heading8"/>
        <w:numPr>
          <w:ilvl w:val="0"/>
          <w:numId w:val="0"/>
        </w:numPr>
        <w:ind w:hanging="0" w:left="0" w:right="0"/>
        <w:rPr>
          <w:rFonts w:ascii="Times New Roman" w:hAnsi="Times New Roman" w:cs="Times New Roman"/>
          <w:color w:val="000000"/>
          <w:sz w:val="24"/>
          <w:szCs w:val="24"/>
        </w:rPr>
      </w:pPr>
      <w:r>
        <w:rPr>
          <w:rFonts w:cs="Times New Roman" w:ascii="Times New Roman" w:hAnsi="Times New Roman"/>
          <w:color w:val="000000"/>
          <w:sz w:val="24"/>
          <w:szCs w:val="24"/>
        </w:rPr>
        <w:t>QUESTIONARIO GENITORI</w:t>
      </w:r>
    </w:p>
    <w:p>
      <w:pPr>
        <w:pStyle w:val="Normal"/>
        <w:ind w:firstLine="708" w:left="2124" w:right="-1134"/>
        <w:jc w:val="both"/>
        <w:rPr>
          <w:rFonts w:cs="Times New Roman"/>
          <w:b/>
          <w:bCs/>
          <w:color w:val="000000"/>
          <w:sz w:val="24"/>
          <w:szCs w:val="24"/>
        </w:rPr>
      </w:pPr>
      <w:r>
        <w:rPr>
          <w:rFonts w:cs="Times New Roman"/>
          <w:b/>
          <w:bCs/>
          <w:color w:val="000000"/>
          <w:sz w:val="24"/>
          <w:szCs w:val="24"/>
        </w:rPr>
      </w:r>
    </w:p>
    <w:p>
      <w:pPr>
        <w:pStyle w:val="Normal"/>
        <w:ind w:hanging="0" w:left="0" w:right="157"/>
        <w:jc w:val="both"/>
        <w:rPr>
          <w:color w:val="000000"/>
          <w:sz w:val="24"/>
          <w:szCs w:val="24"/>
        </w:rPr>
      </w:pPr>
      <w:r>
        <w:rPr>
          <w:color w:val="000000"/>
          <w:sz w:val="24"/>
          <w:szCs w:val="24"/>
        </w:rPr>
        <w:t>Quello che segue è un questionario per la valutazione da parte delle famiglie della qualità del servizio offerto nei Centri Ricreativi Estivi.</w:t>
      </w:r>
    </w:p>
    <w:p>
      <w:pPr>
        <w:pStyle w:val="Normal"/>
        <w:ind w:hanging="0" w:left="0" w:right="157"/>
        <w:jc w:val="both"/>
        <w:rPr>
          <w:color w:val="000000"/>
          <w:sz w:val="24"/>
          <w:szCs w:val="24"/>
        </w:rPr>
      </w:pPr>
      <w:r>
        <w:rPr>
          <w:color w:val="000000"/>
          <w:sz w:val="24"/>
          <w:szCs w:val="24"/>
        </w:rPr>
        <w:t>Vi chiediamo di dare un giudizio su alcuni aspetti della vita e del funzionamento del centro estivo frequentato da vostro figlio, in modo da organizzare al meglio i servizi che offriamo. Il questionario è anonimo e maggiore sarà la percentuale di questionari compilati, più significativi saranno per noi e per voi i risultati ottenuti.</w:t>
      </w:r>
    </w:p>
    <w:p>
      <w:pPr>
        <w:pStyle w:val="Normal"/>
        <w:spacing w:before="120" w:after="120"/>
        <w:ind w:hanging="0" w:left="0" w:right="357"/>
        <w:rPr>
          <w:color w:val="000000"/>
          <w:sz w:val="24"/>
          <w:szCs w:val="24"/>
        </w:rPr>
      </w:pPr>
      <w:r>
        <w:rPr>
          <w:color w:val="000000"/>
          <w:sz w:val="24"/>
          <w:szCs w:val="24"/>
        </w:rPr>
        <w:t>Centro estivo …………………………………………………………………………………………………………</w:t>
      </w:r>
    </w:p>
    <w:p>
      <w:pPr>
        <w:pStyle w:val="Normal"/>
        <w:spacing w:before="120" w:after="120"/>
        <w:ind w:hanging="0" w:left="0" w:right="257"/>
        <w:rPr>
          <w:color w:val="000000"/>
          <w:sz w:val="24"/>
          <w:szCs w:val="24"/>
        </w:rPr>
      </w:pPr>
      <w:r>
        <w:rPr>
          <w:color w:val="000000"/>
          <w:sz w:val="24"/>
          <w:szCs w:val="24"/>
        </w:rPr>
        <w:t>data di compilazione ………………………………………………………………………………………………………</w:t>
      </w:r>
    </w:p>
    <w:p>
      <w:pPr>
        <w:pStyle w:val="Normal"/>
        <w:shd w:val="clear" w:fill="FFFFFF"/>
        <w:spacing w:lineRule="exact" w:line="346" w:before="36" w:after="0"/>
        <w:rPr>
          <w:color w:val="000000"/>
          <w:spacing w:val="7"/>
          <w:sz w:val="24"/>
          <w:szCs w:val="24"/>
        </w:rPr>
      </w:pPr>
      <w:r>
        <w:rPr>
          <w:color w:val="000000"/>
          <w:spacing w:val="7"/>
          <w:sz w:val="24"/>
          <w:szCs w:val="24"/>
        </w:rPr>
      </w:r>
    </w:p>
    <w:p>
      <w:pPr>
        <w:pStyle w:val="Normal"/>
        <w:shd w:val="clear" w:fill="FFFFFF"/>
        <w:spacing w:lineRule="exact" w:line="346" w:before="36" w:after="0"/>
        <w:jc w:val="both"/>
        <w:rPr/>
      </w:pPr>
      <w:r>
        <w:rPr>
          <w:color w:val="000000"/>
          <w:spacing w:val="7"/>
          <w:sz w:val="24"/>
          <w:szCs w:val="24"/>
        </w:rPr>
        <w:t xml:space="preserve">Indichi con un voto da 1 a 5 il suo LIVELLO DI SODDISFAZIONE, per gli aspetti </w:t>
      </w:r>
      <w:r>
        <w:rPr>
          <w:color w:val="000000"/>
          <w:spacing w:val="1"/>
          <w:sz w:val="24"/>
          <w:szCs w:val="24"/>
        </w:rPr>
        <w:t>elencati nel questionario, apponendo una croce sulla casella corrispondente al suo giudizio. Per la relazione tra voto e livello di soddisfazione faccia riferimento alla seguente LEGENDA:</w:t>
      </w:r>
    </w:p>
    <w:p>
      <w:pPr>
        <w:pStyle w:val="Normal"/>
        <w:shd w:val="clear" w:fill="FFFFFF"/>
        <w:spacing w:lineRule="exact" w:line="346" w:before="36" w:after="0"/>
        <w:ind w:firstLine="266" w:left="0" w:right="0"/>
        <w:jc w:val="both"/>
        <w:rPr>
          <w:color w:val="000000"/>
          <w:spacing w:val="1"/>
          <w:sz w:val="24"/>
          <w:szCs w:val="24"/>
        </w:rPr>
      </w:pPr>
      <w:r>
        <w:rPr>
          <w:color w:val="000000"/>
          <w:spacing w:val="1"/>
          <w:sz w:val="24"/>
          <w:szCs w:val="24"/>
        </w:rPr>
      </w:r>
    </w:p>
    <w:tbl>
      <w:tblPr>
        <w:tblW w:w="7955" w:type="dxa"/>
        <w:jc w:val="left"/>
        <w:tblInd w:w="40" w:type="dxa"/>
        <w:tblLayout w:type="fixed"/>
        <w:tblCellMar>
          <w:top w:w="0" w:type="dxa"/>
          <w:left w:w="40" w:type="dxa"/>
          <w:bottom w:w="0" w:type="dxa"/>
          <w:right w:w="40" w:type="dxa"/>
        </w:tblCellMar>
      </w:tblPr>
      <w:tblGrid>
        <w:gridCol w:w="2345"/>
        <w:gridCol w:w="5609"/>
      </w:tblGrid>
      <w:tr>
        <w:trPr>
          <w:trHeight w:val="367" w:hRule="exact"/>
        </w:trPr>
        <w:tc>
          <w:tcPr>
            <w:tcW w:w="2345" w:type="dxa"/>
            <w:tcBorders>
              <w:top w:val="single" w:sz="6" w:space="0" w:color="000000"/>
              <w:left w:val="single" w:sz="6" w:space="0" w:color="000000"/>
              <w:bottom w:val="single" w:sz="6" w:space="0" w:color="000000"/>
              <w:right w:val="single" w:sz="6" w:space="0" w:color="000000"/>
            </w:tcBorders>
            <w:shd w:fill="FFFFFF" w:val="clear"/>
          </w:tcPr>
          <w:p>
            <w:pPr>
              <w:pStyle w:val="Normal"/>
              <w:shd w:val="clear" w:fill="FFFFFF"/>
              <w:jc w:val="center"/>
              <w:rPr>
                <w:color w:val="000000"/>
                <w:spacing w:val="-1"/>
                <w:sz w:val="24"/>
                <w:szCs w:val="24"/>
              </w:rPr>
            </w:pPr>
            <w:r>
              <w:rPr>
                <w:color w:val="000000"/>
                <w:spacing w:val="-1"/>
                <w:sz w:val="24"/>
                <w:szCs w:val="24"/>
              </w:rPr>
              <w:t>VOTO</w:t>
            </w:r>
          </w:p>
        </w:tc>
        <w:tc>
          <w:tcPr>
            <w:tcW w:w="5609" w:type="dxa"/>
            <w:tcBorders>
              <w:top w:val="single" w:sz="6" w:space="0" w:color="000000"/>
              <w:left w:val="single" w:sz="6" w:space="0" w:color="000000"/>
              <w:bottom w:val="single" w:sz="6" w:space="0" w:color="000000"/>
              <w:right w:val="single" w:sz="6" w:space="0" w:color="000000"/>
            </w:tcBorders>
            <w:shd w:fill="FFFFFF" w:val="clear"/>
          </w:tcPr>
          <w:p>
            <w:pPr>
              <w:pStyle w:val="Normal"/>
              <w:shd w:val="clear" w:fill="FFFFFF"/>
              <w:jc w:val="center"/>
              <w:rPr>
                <w:color w:val="000000"/>
                <w:spacing w:val="-4"/>
                <w:sz w:val="24"/>
                <w:szCs w:val="24"/>
              </w:rPr>
            </w:pPr>
            <w:r>
              <w:rPr>
                <w:color w:val="000000"/>
                <w:spacing w:val="-4"/>
                <w:sz w:val="24"/>
                <w:szCs w:val="24"/>
              </w:rPr>
              <w:t>GIUDIZIO</w:t>
            </w:r>
          </w:p>
        </w:tc>
      </w:tr>
      <w:tr>
        <w:trPr>
          <w:trHeight w:val="353" w:hRule="exact"/>
        </w:trPr>
        <w:tc>
          <w:tcPr>
            <w:tcW w:w="2345" w:type="dxa"/>
            <w:tcBorders>
              <w:top w:val="single" w:sz="6" w:space="0" w:color="000000"/>
              <w:left w:val="single" w:sz="6" w:space="0" w:color="000000"/>
              <w:bottom w:val="single" w:sz="6" w:space="0" w:color="000000"/>
              <w:right w:val="single" w:sz="6" w:space="0" w:color="000000"/>
            </w:tcBorders>
            <w:shd w:fill="FFFFFF" w:val="clear"/>
          </w:tcPr>
          <w:p>
            <w:pPr>
              <w:pStyle w:val="Normal"/>
              <w:shd w:val="clear" w:fill="FFFFFF"/>
              <w:jc w:val="center"/>
              <w:rPr>
                <w:color w:val="000000"/>
                <w:sz w:val="24"/>
                <w:szCs w:val="24"/>
              </w:rPr>
            </w:pPr>
            <w:r>
              <w:rPr>
                <w:color w:val="000000"/>
                <w:sz w:val="24"/>
                <w:szCs w:val="24"/>
              </w:rPr>
              <w:t>1</w:t>
            </w:r>
          </w:p>
        </w:tc>
        <w:tc>
          <w:tcPr>
            <w:tcW w:w="5609" w:type="dxa"/>
            <w:tcBorders>
              <w:top w:val="single" w:sz="6" w:space="0" w:color="000000"/>
              <w:left w:val="single" w:sz="6" w:space="0" w:color="000000"/>
              <w:bottom w:val="single" w:sz="6" w:space="0" w:color="000000"/>
              <w:right w:val="single" w:sz="6" w:space="0" w:color="000000"/>
            </w:tcBorders>
            <w:shd w:fill="FFFFFF" w:val="clear"/>
          </w:tcPr>
          <w:p>
            <w:pPr>
              <w:pStyle w:val="Normal"/>
              <w:shd w:val="clear" w:fill="FFFFFF"/>
              <w:ind w:hanging="0" w:left="14" w:right="0"/>
              <w:rPr>
                <w:color w:val="000000"/>
                <w:spacing w:val="-6"/>
                <w:sz w:val="24"/>
                <w:szCs w:val="24"/>
              </w:rPr>
            </w:pPr>
            <w:r>
              <w:rPr>
                <w:color w:val="000000"/>
                <w:spacing w:val="-6"/>
                <w:sz w:val="24"/>
                <w:szCs w:val="24"/>
              </w:rPr>
              <w:t>per niente soddisfatto</w:t>
            </w:r>
          </w:p>
        </w:tc>
      </w:tr>
      <w:tr>
        <w:trPr>
          <w:trHeight w:val="346" w:hRule="exact"/>
        </w:trPr>
        <w:tc>
          <w:tcPr>
            <w:tcW w:w="2345" w:type="dxa"/>
            <w:tcBorders>
              <w:top w:val="single" w:sz="6" w:space="0" w:color="000000"/>
              <w:left w:val="single" w:sz="6" w:space="0" w:color="000000"/>
              <w:bottom w:val="single" w:sz="6" w:space="0" w:color="000000"/>
              <w:right w:val="single" w:sz="6" w:space="0" w:color="000000"/>
            </w:tcBorders>
            <w:shd w:fill="FFFFFF" w:val="clear"/>
          </w:tcPr>
          <w:p>
            <w:pPr>
              <w:pStyle w:val="Normal"/>
              <w:shd w:val="clear" w:fill="FFFFFF"/>
              <w:jc w:val="center"/>
              <w:rPr>
                <w:color w:val="000000"/>
                <w:sz w:val="24"/>
                <w:szCs w:val="24"/>
              </w:rPr>
            </w:pPr>
            <w:r>
              <w:rPr>
                <w:color w:val="000000"/>
                <w:sz w:val="24"/>
                <w:szCs w:val="24"/>
              </w:rPr>
              <w:t>2</w:t>
            </w:r>
          </w:p>
        </w:tc>
        <w:tc>
          <w:tcPr>
            <w:tcW w:w="5609" w:type="dxa"/>
            <w:tcBorders>
              <w:top w:val="single" w:sz="6" w:space="0" w:color="000000"/>
              <w:left w:val="single" w:sz="6" w:space="0" w:color="000000"/>
              <w:bottom w:val="single" w:sz="6" w:space="0" w:color="000000"/>
              <w:right w:val="single" w:sz="6" w:space="0" w:color="000000"/>
            </w:tcBorders>
            <w:shd w:fill="FFFFFF" w:val="clear"/>
          </w:tcPr>
          <w:p>
            <w:pPr>
              <w:pStyle w:val="Normal"/>
              <w:shd w:val="clear" w:fill="FFFFFF"/>
              <w:ind w:hanging="0" w:left="14" w:right="0"/>
              <w:rPr>
                <w:color w:val="000000"/>
                <w:spacing w:val="-6"/>
                <w:sz w:val="24"/>
                <w:szCs w:val="24"/>
              </w:rPr>
            </w:pPr>
            <w:r>
              <w:rPr>
                <w:color w:val="000000"/>
                <w:spacing w:val="-6"/>
                <w:sz w:val="24"/>
                <w:szCs w:val="24"/>
              </w:rPr>
              <w:t>poco soddisfatto</w:t>
            </w:r>
          </w:p>
        </w:tc>
      </w:tr>
      <w:tr>
        <w:trPr>
          <w:trHeight w:val="346" w:hRule="exact"/>
        </w:trPr>
        <w:tc>
          <w:tcPr>
            <w:tcW w:w="2345" w:type="dxa"/>
            <w:tcBorders>
              <w:top w:val="single" w:sz="6" w:space="0" w:color="000000"/>
              <w:left w:val="single" w:sz="6" w:space="0" w:color="000000"/>
              <w:bottom w:val="single" w:sz="6" w:space="0" w:color="000000"/>
              <w:right w:val="single" w:sz="6" w:space="0" w:color="000000"/>
            </w:tcBorders>
            <w:shd w:fill="FFFFFF" w:val="clear"/>
          </w:tcPr>
          <w:p>
            <w:pPr>
              <w:pStyle w:val="Normal"/>
              <w:shd w:val="clear" w:fill="FFFFFF"/>
              <w:jc w:val="center"/>
              <w:rPr>
                <w:color w:val="000000"/>
                <w:sz w:val="24"/>
                <w:szCs w:val="24"/>
              </w:rPr>
            </w:pPr>
            <w:r>
              <w:rPr>
                <w:color w:val="000000"/>
                <w:sz w:val="24"/>
                <w:szCs w:val="24"/>
              </w:rPr>
              <w:t>3</w:t>
            </w:r>
          </w:p>
        </w:tc>
        <w:tc>
          <w:tcPr>
            <w:tcW w:w="5609" w:type="dxa"/>
            <w:tcBorders>
              <w:top w:val="single" w:sz="6" w:space="0" w:color="000000"/>
              <w:left w:val="single" w:sz="6" w:space="0" w:color="000000"/>
              <w:bottom w:val="single" w:sz="6" w:space="0" w:color="000000"/>
              <w:right w:val="single" w:sz="6" w:space="0" w:color="000000"/>
            </w:tcBorders>
            <w:shd w:fill="FFFFFF" w:val="clear"/>
          </w:tcPr>
          <w:p>
            <w:pPr>
              <w:pStyle w:val="Normal"/>
              <w:shd w:val="clear" w:fill="FFFFFF"/>
              <w:ind w:hanging="0" w:left="14" w:right="0"/>
              <w:rPr>
                <w:sz w:val="24"/>
                <w:szCs w:val="24"/>
              </w:rPr>
            </w:pPr>
            <w:r>
              <w:rPr>
                <w:sz w:val="24"/>
                <w:szCs w:val="24"/>
              </w:rPr>
              <w:t>soddisfatto</w:t>
            </w:r>
          </w:p>
        </w:tc>
      </w:tr>
      <w:tr>
        <w:trPr>
          <w:trHeight w:val="360" w:hRule="exact"/>
        </w:trPr>
        <w:tc>
          <w:tcPr>
            <w:tcW w:w="2345" w:type="dxa"/>
            <w:tcBorders>
              <w:top w:val="single" w:sz="6" w:space="0" w:color="000000"/>
              <w:left w:val="single" w:sz="6" w:space="0" w:color="000000"/>
              <w:bottom w:val="single" w:sz="6" w:space="0" w:color="000000"/>
              <w:right w:val="single" w:sz="6" w:space="0" w:color="000000"/>
            </w:tcBorders>
            <w:shd w:fill="FFFFFF" w:val="clear"/>
          </w:tcPr>
          <w:p>
            <w:pPr>
              <w:pStyle w:val="Normal"/>
              <w:shd w:val="clear" w:fill="FFFFFF"/>
              <w:jc w:val="center"/>
              <w:rPr>
                <w:color w:val="000000"/>
                <w:sz w:val="24"/>
                <w:szCs w:val="24"/>
              </w:rPr>
            </w:pPr>
            <w:r>
              <w:rPr>
                <w:color w:val="000000"/>
                <w:sz w:val="24"/>
                <w:szCs w:val="24"/>
              </w:rPr>
              <w:t>4</w:t>
            </w:r>
          </w:p>
        </w:tc>
        <w:tc>
          <w:tcPr>
            <w:tcW w:w="5609" w:type="dxa"/>
            <w:tcBorders>
              <w:top w:val="single" w:sz="6" w:space="0" w:color="000000"/>
              <w:left w:val="single" w:sz="6" w:space="0" w:color="000000"/>
              <w:bottom w:val="single" w:sz="6" w:space="0" w:color="000000"/>
              <w:right w:val="single" w:sz="6" w:space="0" w:color="000000"/>
            </w:tcBorders>
            <w:shd w:fill="FFFFFF" w:val="clear"/>
          </w:tcPr>
          <w:p>
            <w:pPr>
              <w:pStyle w:val="Normal"/>
              <w:shd w:val="clear" w:fill="FFFFFF"/>
              <w:ind w:hanging="0" w:left="22" w:right="0"/>
              <w:rPr>
                <w:color w:val="000000"/>
                <w:spacing w:val="6"/>
                <w:sz w:val="24"/>
                <w:szCs w:val="24"/>
              </w:rPr>
            </w:pPr>
            <w:r>
              <w:rPr>
                <w:color w:val="000000"/>
                <w:spacing w:val="6"/>
                <w:sz w:val="24"/>
                <w:szCs w:val="24"/>
              </w:rPr>
              <w:t>abbastanza soddisfatto</w:t>
            </w:r>
          </w:p>
        </w:tc>
      </w:tr>
      <w:tr>
        <w:trPr>
          <w:trHeight w:val="360" w:hRule="exact"/>
        </w:trPr>
        <w:tc>
          <w:tcPr>
            <w:tcW w:w="2345" w:type="dxa"/>
            <w:tcBorders>
              <w:top w:val="single" w:sz="6" w:space="0" w:color="000000"/>
              <w:left w:val="single" w:sz="6" w:space="0" w:color="000000"/>
              <w:bottom w:val="single" w:sz="6" w:space="0" w:color="000000"/>
              <w:right w:val="single" w:sz="6" w:space="0" w:color="000000"/>
            </w:tcBorders>
            <w:shd w:fill="FFFFFF" w:val="clear"/>
          </w:tcPr>
          <w:p>
            <w:pPr>
              <w:pStyle w:val="Normal"/>
              <w:shd w:val="clear" w:fill="FFFFFF"/>
              <w:jc w:val="center"/>
              <w:rPr>
                <w:color w:val="000000"/>
                <w:sz w:val="24"/>
                <w:szCs w:val="24"/>
              </w:rPr>
            </w:pPr>
            <w:r>
              <w:rPr>
                <w:color w:val="000000"/>
                <w:sz w:val="24"/>
                <w:szCs w:val="24"/>
              </w:rPr>
              <w:t>5</w:t>
            </w:r>
          </w:p>
        </w:tc>
        <w:tc>
          <w:tcPr>
            <w:tcW w:w="5609" w:type="dxa"/>
            <w:tcBorders>
              <w:top w:val="single" w:sz="6" w:space="0" w:color="000000"/>
              <w:left w:val="single" w:sz="6" w:space="0" w:color="000000"/>
              <w:bottom w:val="single" w:sz="6" w:space="0" w:color="000000"/>
              <w:right w:val="single" w:sz="6" w:space="0" w:color="000000"/>
            </w:tcBorders>
            <w:shd w:fill="FFFFFF" w:val="clear"/>
          </w:tcPr>
          <w:p>
            <w:pPr>
              <w:pStyle w:val="Normal"/>
              <w:shd w:val="clear" w:fill="FFFFFF"/>
              <w:ind w:hanging="0" w:left="22" w:right="0"/>
              <w:rPr>
                <w:color w:val="000000"/>
                <w:spacing w:val="8"/>
                <w:sz w:val="24"/>
                <w:szCs w:val="24"/>
              </w:rPr>
            </w:pPr>
            <w:r>
              <w:rPr>
                <w:color w:val="000000"/>
                <w:spacing w:val="8"/>
                <w:sz w:val="24"/>
                <w:szCs w:val="24"/>
              </w:rPr>
              <w:t>molto soddisfatto</w:t>
            </w:r>
          </w:p>
        </w:tc>
      </w:tr>
    </w:tbl>
    <w:p>
      <w:pPr>
        <w:pStyle w:val="Header"/>
        <w:numPr>
          <w:ilvl w:val="0"/>
          <w:numId w:val="8"/>
        </w:numPr>
        <w:spacing w:before="240" w:after="120"/>
        <w:ind w:hanging="357" w:left="714" w:right="0"/>
        <w:rPr>
          <w:color w:val="000000"/>
          <w:sz w:val="24"/>
          <w:szCs w:val="24"/>
        </w:rPr>
      </w:pPr>
      <w:r>
        <w:rPr>
          <w:color w:val="000000"/>
          <w:sz w:val="24"/>
          <w:szCs w:val="24"/>
        </w:rPr>
        <w:t>ACCESSIBILITÀ DEL SERVIZIO E STRUTTURA</w:t>
      </w:r>
    </w:p>
    <w:tbl>
      <w:tblPr>
        <w:tblW w:w="9954" w:type="dxa"/>
        <w:jc w:val="left"/>
        <w:tblInd w:w="-50" w:type="dxa"/>
        <w:tblLayout w:type="fixed"/>
        <w:tblCellMar>
          <w:top w:w="0" w:type="dxa"/>
          <w:left w:w="108" w:type="dxa"/>
          <w:bottom w:w="0" w:type="dxa"/>
          <w:right w:w="108" w:type="dxa"/>
        </w:tblCellMar>
      </w:tblPr>
      <w:tblGrid>
        <w:gridCol w:w="7310"/>
        <w:gridCol w:w="537"/>
        <w:gridCol w:w="543"/>
        <w:gridCol w:w="537"/>
        <w:gridCol w:w="543"/>
        <w:gridCol w:w="483"/>
      </w:tblGrid>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Le informazioni circa il servizio sono facilmente reperibili</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Le procedure e modalità d iscrizione sono chiare</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tempi di attesa sugli esiti delle domande di iscrizione sono adeguati.</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Il servizio è facilmente raggiungibile (viabilità, parcheggio, mezzi pubblici…..)</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Le strutture offrono garanzie di sicurezza e di funzionalità</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Gli spazi, gli arredi e i servizi per i bambini sono adeguati alle esigenze dei bambini</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Le attrezzature e gli arredi interni rispondono alle esigenze di sicurezza dei bambini</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Gli spazi verdi e le attrezzature esterne sono adeguati alle attività di gioco dei bambini</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Igiene e pulizia</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bl>
    <w:p>
      <w:pPr>
        <w:pStyle w:val="Header"/>
        <w:numPr>
          <w:ilvl w:val="0"/>
          <w:numId w:val="8"/>
        </w:numPr>
        <w:spacing w:before="240" w:after="120"/>
        <w:ind w:hanging="357" w:left="714" w:right="0"/>
        <w:rPr>
          <w:color w:val="000000"/>
          <w:sz w:val="24"/>
          <w:szCs w:val="24"/>
        </w:rPr>
      </w:pPr>
      <w:r>
        <w:rPr>
          <w:color w:val="000000"/>
          <w:sz w:val="24"/>
          <w:szCs w:val="24"/>
        </w:rPr>
        <w:t>PERSONALE IN SERVIZIO</w:t>
      </w:r>
    </w:p>
    <w:tbl>
      <w:tblPr>
        <w:tblW w:w="9954" w:type="dxa"/>
        <w:jc w:val="left"/>
        <w:tblInd w:w="-50" w:type="dxa"/>
        <w:tblLayout w:type="fixed"/>
        <w:tblCellMar>
          <w:top w:w="0" w:type="dxa"/>
          <w:left w:w="108" w:type="dxa"/>
          <w:bottom w:w="0" w:type="dxa"/>
          <w:right w:w="108" w:type="dxa"/>
        </w:tblCellMar>
      </w:tblPr>
      <w:tblGrid>
        <w:gridCol w:w="7310"/>
        <w:gridCol w:w="537"/>
        <w:gridCol w:w="543"/>
        <w:gridCol w:w="537"/>
        <w:gridCol w:w="543"/>
        <w:gridCol w:w="483"/>
      </w:tblGrid>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Il personale educativo è preparato e all’altezza dei compiti</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Le famiglie vengono accolte con cortesia e disponibilità</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Il personale educativo è affidabile</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Il personale educativo è discreto e riservato</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Il personale educativo sa ascoltare e offrire sostegno alle problematiche educative della famiglia</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Il personale organizza la giornata quotidiana al centro estivo in modo adeguato (pasto, igiene personale, sonno, gioco)</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Il rapporto tra il personale educativo e le famiglie è sostenuto.</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Igiene e pulizia del personale ausiliario sul servizio</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bl>
    <w:p>
      <w:pPr>
        <w:pStyle w:val="Header"/>
        <w:spacing w:before="240" w:after="120"/>
        <w:ind w:hanging="0" w:left="357" w:right="0"/>
        <w:rPr/>
      </w:pPr>
      <w:r>
        <w:rPr>
          <w:color w:val="000000"/>
          <w:sz w:val="24"/>
          <w:szCs w:val="24"/>
        </w:rPr>
        <w:t xml:space="preserve"> </w:t>
      </w:r>
      <w:r>
        <w:rPr>
          <w:color w:val="000000"/>
          <w:sz w:val="24"/>
          <w:szCs w:val="24"/>
        </w:rPr>
        <w:t>ATTIVITÀ DEL SERVIZIO</w:t>
      </w:r>
    </w:p>
    <w:tbl>
      <w:tblPr>
        <w:tblW w:w="9954" w:type="dxa"/>
        <w:jc w:val="left"/>
        <w:tblInd w:w="-50" w:type="dxa"/>
        <w:tblLayout w:type="fixed"/>
        <w:tblCellMar>
          <w:top w:w="0" w:type="dxa"/>
          <w:left w:w="108" w:type="dxa"/>
          <w:bottom w:w="0" w:type="dxa"/>
          <w:right w:w="108" w:type="dxa"/>
        </w:tblCellMar>
      </w:tblPr>
      <w:tblGrid>
        <w:gridCol w:w="7310"/>
        <w:gridCol w:w="537"/>
        <w:gridCol w:w="543"/>
        <w:gridCol w:w="537"/>
        <w:gridCol w:w="543"/>
        <w:gridCol w:w="483"/>
      </w:tblGrid>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L’organizzazione dei tempi e delle modalità di accoglienza del bambino</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Efficacia dell’accoglienza del bambino al Centro estivo</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Il progetto educativo proposto è efficace</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Viene favorito lo sviluppo delle capacità relazionali del bambino</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Apprendimenti del bambino/a</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Le attività educative sono adeguate ai bambini</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Sono fornite le informazioni sulle attività della giornata (routines) e del servizio</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Le esperienze realizzate dal bambino vengono adeguatamente documentate</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Il menu proposto è adeguato e soddisfacente (qualità)</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Se siete fruitori di “Diete speciali” come giudicate il servizio mensa?</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bl>
    <w:p>
      <w:pPr>
        <w:pStyle w:val="Header"/>
        <w:numPr>
          <w:ilvl w:val="0"/>
          <w:numId w:val="8"/>
        </w:numPr>
        <w:spacing w:before="240" w:after="120"/>
        <w:ind w:hanging="357" w:left="714" w:right="0"/>
        <w:rPr>
          <w:color w:val="000000"/>
          <w:sz w:val="24"/>
          <w:szCs w:val="24"/>
        </w:rPr>
      </w:pPr>
      <w:r>
        <w:rPr>
          <w:color w:val="000000"/>
          <w:sz w:val="24"/>
          <w:szCs w:val="24"/>
        </w:rPr>
        <w:t>COMUNICAZIONE E PARTECIPAZIONE DELLE FAMIGLIE</w:t>
      </w:r>
    </w:p>
    <w:tbl>
      <w:tblPr>
        <w:tblW w:w="9954" w:type="dxa"/>
        <w:jc w:val="left"/>
        <w:tblInd w:w="-50" w:type="dxa"/>
        <w:tblLayout w:type="fixed"/>
        <w:tblCellMar>
          <w:top w:w="0" w:type="dxa"/>
          <w:left w:w="108" w:type="dxa"/>
          <w:bottom w:w="0" w:type="dxa"/>
          <w:right w:w="108" w:type="dxa"/>
        </w:tblCellMar>
      </w:tblPr>
      <w:tblGrid>
        <w:gridCol w:w="7310"/>
        <w:gridCol w:w="537"/>
        <w:gridCol w:w="543"/>
        <w:gridCol w:w="537"/>
        <w:gridCol w:w="543"/>
        <w:gridCol w:w="483"/>
      </w:tblGrid>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Le informazioni sulle attività giornaliere sono adeguate e di facile accesso (es: bacheca)</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Sono favoriti momenti di incontro/confronto con le famiglie</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Si prevedono momenti di interazione tra famiglie, bambini e personale del servizio</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Attenzione alla salute dei bambini</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Informazioni presso il nido di altri servizi, incontri, ……….</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bl>
    <w:p>
      <w:pPr>
        <w:pStyle w:val="Header"/>
        <w:numPr>
          <w:ilvl w:val="0"/>
          <w:numId w:val="8"/>
        </w:numPr>
        <w:spacing w:before="240" w:after="120"/>
        <w:ind w:hanging="357" w:left="714" w:right="0"/>
        <w:rPr/>
      </w:pPr>
      <w:r>
        <w:rPr/>
        <w:t>TEMPI DI FUNZIONAMENTO DEL SERVIZIO</w:t>
      </w:r>
    </w:p>
    <w:tbl>
      <w:tblPr>
        <w:tblW w:w="9954" w:type="dxa"/>
        <w:jc w:val="left"/>
        <w:tblInd w:w="-50" w:type="dxa"/>
        <w:tblLayout w:type="fixed"/>
        <w:tblCellMar>
          <w:top w:w="0" w:type="dxa"/>
          <w:left w:w="108" w:type="dxa"/>
          <w:bottom w:w="0" w:type="dxa"/>
          <w:right w:w="108" w:type="dxa"/>
        </w:tblCellMar>
      </w:tblPr>
      <w:tblGrid>
        <w:gridCol w:w="7310"/>
        <w:gridCol w:w="537"/>
        <w:gridCol w:w="543"/>
        <w:gridCol w:w="537"/>
        <w:gridCol w:w="543"/>
        <w:gridCol w:w="483"/>
      </w:tblGrid>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L’orario di apertura giornaliera del servizio è adeguato alle esigenze della famiglia</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L’orario di chiusura giornaliera del servizio è adeguato alle esigenze della famiglia</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La flessibilità oraria è adeguata alle esigenze della famiglia</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I tempi di apertura e chiusura annuale sono il linea con le esigenze della famiglia</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bl>
    <w:p>
      <w:pPr>
        <w:pStyle w:val="Header"/>
        <w:spacing w:before="240" w:after="120"/>
        <w:ind w:hanging="0" w:left="357" w:right="0"/>
        <w:rPr>
          <w:color w:val="000000"/>
          <w:sz w:val="24"/>
          <w:szCs w:val="24"/>
        </w:rPr>
      </w:pPr>
      <w:r>
        <w:rPr>
          <w:color w:val="000000"/>
          <w:sz w:val="24"/>
          <w:szCs w:val="24"/>
        </w:rPr>
      </w:r>
    </w:p>
    <w:p>
      <w:pPr>
        <w:pStyle w:val="Header"/>
        <w:spacing w:before="240" w:after="120"/>
        <w:ind w:hanging="0" w:left="357" w:right="0"/>
        <w:rPr>
          <w:color w:val="000000"/>
          <w:sz w:val="24"/>
          <w:szCs w:val="24"/>
        </w:rPr>
      </w:pPr>
      <w:r>
        <w:rPr>
          <w:color w:val="000000"/>
          <w:sz w:val="24"/>
          <w:szCs w:val="24"/>
        </w:rPr>
        <w:t>NOTE CONCLUSIVE</w:t>
      </w:r>
    </w:p>
    <w:tbl>
      <w:tblPr>
        <w:tblW w:w="9954" w:type="dxa"/>
        <w:jc w:val="left"/>
        <w:tblInd w:w="-50" w:type="dxa"/>
        <w:tblLayout w:type="fixed"/>
        <w:tblCellMar>
          <w:top w:w="0" w:type="dxa"/>
          <w:left w:w="108" w:type="dxa"/>
          <w:bottom w:w="0" w:type="dxa"/>
          <w:right w:w="108" w:type="dxa"/>
        </w:tblCellMar>
      </w:tblPr>
      <w:tblGrid>
        <w:gridCol w:w="7310"/>
        <w:gridCol w:w="537"/>
        <w:gridCol w:w="543"/>
        <w:gridCol w:w="537"/>
        <w:gridCol w:w="543"/>
        <w:gridCol w:w="483"/>
      </w:tblGrid>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Come giudica il servizio nel suo complesso</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r>
        <w:trPr/>
        <w:tc>
          <w:tcPr>
            <w:tcW w:w="7310"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La retta è adeguata al servizio offerto</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1</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2</w:t>
            </w:r>
          </w:p>
        </w:tc>
        <w:tc>
          <w:tcPr>
            <w:tcW w:w="537"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3</w:t>
            </w:r>
          </w:p>
        </w:tc>
        <w:tc>
          <w:tcPr>
            <w:tcW w:w="54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4</w:t>
            </w:r>
          </w:p>
        </w:tc>
        <w:tc>
          <w:tcPr>
            <w:tcW w:w="483" w:type="dxa"/>
            <w:tcBorders>
              <w:top w:val="single" w:sz="4" w:space="0" w:color="000000"/>
              <w:left w:val="single" w:sz="4" w:space="0" w:color="000000"/>
              <w:bottom w:val="single" w:sz="4" w:space="0" w:color="000000"/>
              <w:right w:val="single" w:sz="4" w:space="0" w:color="000000"/>
            </w:tcBorders>
          </w:tcPr>
          <w:p>
            <w:pPr>
              <w:pStyle w:val="Header"/>
              <w:widowControl w:val="false"/>
              <w:tabs>
                <w:tab w:val="clear" w:pos="709"/>
                <w:tab w:val="left" w:pos="708" w:leader="none"/>
                <w:tab w:val="center" w:pos="4819" w:leader="none"/>
                <w:tab w:val="right" w:pos="9638" w:leader="none"/>
              </w:tabs>
              <w:rPr>
                <w:color w:val="000000"/>
                <w:sz w:val="24"/>
                <w:szCs w:val="24"/>
              </w:rPr>
            </w:pPr>
            <w:r>
              <w:rPr>
                <w:color w:val="000000"/>
                <w:sz w:val="24"/>
                <w:szCs w:val="24"/>
              </w:rPr>
              <w:t>5</w:t>
            </w:r>
          </w:p>
        </w:tc>
      </w:tr>
    </w:tbl>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t>Quali suggerimenti dare per migliorare la Qualità del servizio offerto……………………………………………………………………………………………………………</w:t>
      </w:r>
    </w:p>
    <w:p>
      <w:pPr>
        <w:pStyle w:val="Normal"/>
        <w:rPr>
          <w:color w:val="000000"/>
          <w:sz w:val="24"/>
          <w:szCs w:val="24"/>
        </w:rPr>
      </w:pPr>
      <w:r>
        <w:rPr>
          <w:color w:val="000000"/>
          <w:sz w:val="24"/>
          <w:szCs w:val="24"/>
        </w:rPr>
        <w:t>………………………………………………………………………………………………………………………………………………………………………………………………………………………………………………………………………………………………………………………………………………………………………………………………………………………………………………………………………………………………………………………………………………………………………………………………………………………………………………………………</w:t>
      </w:r>
    </w:p>
    <w:p>
      <w:pPr>
        <w:pStyle w:val="Normal"/>
        <w:rPr>
          <w:color w:val="000000"/>
          <w:sz w:val="24"/>
          <w:szCs w:val="24"/>
        </w:rPr>
      </w:pPr>
      <w:r>
        <w:rPr>
          <w:color w:val="000000"/>
          <w:sz w:val="24"/>
          <w:szCs w:val="24"/>
        </w:rPr>
        <w:t>………………………………………………………………………………………………………………………………………………………………………………………………………………………………………………………………………………………………………………………………………………………………………………………………………………………………………………………………………………………………………………………………………………………………………………………………………………………………………………………………</w:t>
      </w:r>
    </w:p>
    <w:p>
      <w:pPr>
        <w:pStyle w:val="Normal"/>
        <w:rPr>
          <w:color w:val="000000"/>
          <w:sz w:val="24"/>
          <w:szCs w:val="24"/>
        </w:rPr>
      </w:pPr>
      <w:r>
        <w:rPr>
          <w:color w:val="000000"/>
          <w:sz w:val="24"/>
          <w:szCs w:val="24"/>
        </w:rPr>
        <w:t>Alcune informazioni</w:t>
      </w:r>
    </w:p>
    <w:tbl>
      <w:tblPr>
        <w:tblW w:w="9918" w:type="dxa"/>
        <w:jc w:val="left"/>
        <w:tblInd w:w="-50" w:type="dxa"/>
        <w:tblLayout w:type="fixed"/>
        <w:tblCellMar>
          <w:top w:w="0" w:type="dxa"/>
          <w:left w:w="108" w:type="dxa"/>
          <w:bottom w:w="0" w:type="dxa"/>
          <w:right w:w="108" w:type="dxa"/>
        </w:tblCellMar>
      </w:tblPr>
      <w:tblGrid>
        <w:gridCol w:w="8928"/>
        <w:gridCol w:w="537"/>
        <w:gridCol w:w="453"/>
      </w:tblGrid>
      <w:tr>
        <w:trPr/>
        <w:tc>
          <w:tcPr>
            <w:tcW w:w="8928"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Sesso</w:t>
            </w:r>
          </w:p>
        </w:tc>
        <w:tc>
          <w:tcPr>
            <w:tcW w:w="53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M</w:t>
            </w:r>
          </w:p>
        </w:tc>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F</w:t>
            </w:r>
          </w:p>
        </w:tc>
      </w:tr>
    </w:tbl>
    <w:p>
      <w:pPr>
        <w:pStyle w:val="Normal"/>
        <w:rPr>
          <w:color w:val="000000"/>
          <w:sz w:val="24"/>
          <w:szCs w:val="24"/>
        </w:rPr>
      </w:pPr>
      <w:r>
        <w:rPr>
          <w:color w:val="000000"/>
          <w:sz w:val="24"/>
          <w:szCs w:val="24"/>
        </w:rPr>
      </w:r>
    </w:p>
    <w:tbl>
      <w:tblPr>
        <w:tblW w:w="9878" w:type="dxa"/>
        <w:jc w:val="left"/>
        <w:tblInd w:w="-50" w:type="dxa"/>
        <w:tblLayout w:type="fixed"/>
        <w:tblCellMar>
          <w:top w:w="0" w:type="dxa"/>
          <w:left w:w="108" w:type="dxa"/>
          <w:bottom w:w="0" w:type="dxa"/>
          <w:right w:w="108" w:type="dxa"/>
        </w:tblCellMar>
      </w:tblPr>
      <w:tblGrid>
        <w:gridCol w:w="5505"/>
        <w:gridCol w:w="1080"/>
        <w:gridCol w:w="1263"/>
        <w:gridCol w:w="1077"/>
        <w:gridCol w:w="953"/>
      </w:tblGrid>
      <w:tr>
        <w:trPr/>
        <w:tc>
          <w:tcPr>
            <w:tcW w:w="550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Età</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18-24</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25-39</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40-64</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Dai 65</w:t>
            </w:r>
          </w:p>
        </w:tc>
      </w:tr>
    </w:tbl>
    <w:p>
      <w:pPr>
        <w:pStyle w:val="Normal"/>
        <w:rPr>
          <w:color w:val="000000"/>
          <w:sz w:val="24"/>
          <w:szCs w:val="24"/>
        </w:rPr>
      </w:pPr>
      <w:r>
        <w:rPr>
          <w:color w:val="000000"/>
          <w:sz w:val="24"/>
          <w:szCs w:val="24"/>
        </w:rPr>
      </w:r>
    </w:p>
    <w:tbl>
      <w:tblPr>
        <w:tblW w:w="10096" w:type="dxa"/>
        <w:jc w:val="left"/>
        <w:tblInd w:w="-50" w:type="dxa"/>
        <w:tblLayout w:type="fixed"/>
        <w:tblCellMar>
          <w:top w:w="0" w:type="dxa"/>
          <w:left w:w="108" w:type="dxa"/>
          <w:bottom w:w="0" w:type="dxa"/>
          <w:right w:w="108" w:type="dxa"/>
        </w:tblCellMar>
      </w:tblPr>
      <w:tblGrid>
        <w:gridCol w:w="4428"/>
        <w:gridCol w:w="1080"/>
        <w:gridCol w:w="1269"/>
        <w:gridCol w:w="1203"/>
        <w:gridCol w:w="1165"/>
        <w:gridCol w:w="950"/>
      </w:tblGrid>
      <w:tr>
        <w:trPr/>
        <w:tc>
          <w:tcPr>
            <w:tcW w:w="4428"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Istruzione</w:t>
            </w:r>
          </w:p>
        </w:tc>
        <w:tc>
          <w:tcPr>
            <w:tcW w:w="108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Nessuna</w:t>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Licenza elementare</w:t>
            </w:r>
          </w:p>
        </w:tc>
        <w:tc>
          <w:tcPr>
            <w:tcW w:w="1203"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Licenza media</w:t>
            </w:r>
          </w:p>
        </w:tc>
        <w:tc>
          <w:tcPr>
            <w:tcW w:w="116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Diploma superiore</w:t>
            </w:r>
          </w:p>
        </w:tc>
        <w:tc>
          <w:tcPr>
            <w:tcW w:w="95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laurea</w:t>
            </w:r>
          </w:p>
        </w:tc>
      </w:tr>
    </w:tbl>
    <w:p>
      <w:pPr>
        <w:pStyle w:val="Normal"/>
        <w:shd w:val="clear" w:fill="FFFFFF"/>
        <w:spacing w:before="274" w:after="0"/>
        <w:ind w:hanging="0" w:left="50" w:right="0"/>
        <w:jc w:val="center"/>
        <w:rPr>
          <w:b/>
          <w:bCs/>
          <w:i/>
          <w:i/>
          <w:iCs/>
          <w:color w:val="000000"/>
          <w:spacing w:val="8"/>
          <w:sz w:val="24"/>
          <w:szCs w:val="24"/>
        </w:rPr>
      </w:pPr>
      <w:r>
        <w:rPr>
          <w:b/>
          <w:bCs/>
          <w:i/>
          <w:iCs/>
          <w:color w:val="000000"/>
          <w:spacing w:val="8"/>
          <w:sz w:val="24"/>
          <w:szCs w:val="24"/>
        </w:rPr>
      </w:r>
    </w:p>
    <w:p>
      <w:pPr>
        <w:pStyle w:val="Normal"/>
        <w:shd w:val="clear" w:fill="FFFFFF"/>
        <w:spacing w:before="274" w:after="0"/>
        <w:ind w:hanging="0" w:left="50" w:right="0"/>
        <w:jc w:val="center"/>
        <w:rPr>
          <w:b/>
          <w:bCs/>
          <w:color w:val="000000"/>
          <w:spacing w:val="8"/>
          <w:sz w:val="24"/>
          <w:szCs w:val="24"/>
        </w:rPr>
      </w:pPr>
      <w:r>
        <w:rPr>
          <w:b/>
          <w:bCs/>
          <w:i/>
          <w:iCs/>
          <w:color w:val="000000"/>
          <w:spacing w:val="8"/>
          <w:sz w:val="24"/>
          <w:szCs w:val="24"/>
        </w:rPr>
        <w:t>GRAZIE PER LA CORTESE COLLABORAZIONE</w:t>
      </w:r>
    </w:p>
    <w:p>
      <w:pPr>
        <w:pStyle w:val="Normal"/>
        <w:shd w:val="clear" w:fill="FFFFFF"/>
        <w:spacing w:before="274" w:after="0"/>
        <w:ind w:hanging="0" w:left="50" w:right="0"/>
        <w:jc w:val="both"/>
        <w:rPr/>
      </w:pPr>
      <w:r>
        <w:rPr>
          <w:b/>
          <w:bCs/>
          <w:color w:val="000000"/>
          <w:spacing w:val="4"/>
          <w:sz w:val="24"/>
          <w:szCs w:val="24"/>
        </w:rPr>
        <w:t xml:space="preserve">Consegnare/trasmettere il presente questionario al </w:t>
      </w:r>
      <w:r>
        <w:rPr>
          <w:b/>
          <w:bCs/>
          <w:color w:val="000000"/>
          <w:spacing w:val="4"/>
          <w:sz w:val="24"/>
          <w:szCs w:val="24"/>
        </w:rPr>
        <w:t>gestore del servizio centri estivi comunali</w:t>
      </w:r>
      <w:r>
        <w:rPr>
          <w:b w:val="false"/>
          <w:bCs w:val="false"/>
          <w:color w:val="000000"/>
          <w:spacing w:val="4"/>
          <w:sz w:val="24"/>
          <w:szCs w:val="24"/>
        </w:rPr>
        <w:t>.</w:t>
      </w:r>
    </w:p>
    <w:sectPr>
      <w:headerReference w:type="even" r:id="rId4"/>
      <w:headerReference w:type="default" r:id="rId5"/>
      <w:headerReference w:type="first" r:id="rId6"/>
      <w:footnotePr>
        <w:numFmt w:val="decimal"/>
      </w:footnotePr>
      <w:type w:val="nextPage"/>
      <w:pgSz w:w="11906" w:h="16838"/>
      <w:pgMar w:left="1134" w:right="1134" w:gutter="0" w:header="708" w:top="1417" w:footer="0" w:bottom="70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mbria">
    <w:charset w:val="00"/>
    <w:family w:val="roman"/>
    <w:pitch w:val="variable"/>
  </w:font>
  <w:font w:name="Helvetica Neue">
    <w:charset w:val="00"/>
    <w:family w:val="roman"/>
    <w:pitch w:val="variable"/>
  </w:font>
  <w:font w:name="TimesNewRomanPSMT">
    <w:charset w:val="00"/>
    <w:family w:val="roman"/>
    <w:pitch w:val="variable"/>
  </w:font>
  <w:font w:name="Batang">
    <w:altName w:val="바탕"/>
    <w:charset w:val="00"/>
    <w:family w:val="roman"/>
    <w:pitch w:val="variable"/>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before="100" w:after="100"/>
        <w:rPr>
          <w:highlight w:val="none"/>
          <w:shd w:fill="auto" w:val="clear"/>
        </w:rPr>
      </w:pPr>
      <w:r>
        <w:rPr>
          <w:rStyle w:val="Caratterinotaapidipagina"/>
        </w:rPr>
        <w:footnoteRef/>
      </w:r>
      <w:r>
        <w:rPr>
          <w:shd w:fill="auto" w:val="clear"/>
        </w:rPr>
        <w:t xml:space="preserve"> </w:t>
      </w:r>
      <w:r>
        <w:rPr>
          <w:sz w:val="20"/>
          <w:szCs w:val="20"/>
          <w:shd w:fill="auto" w:val="clear"/>
        </w:rPr>
        <w:t xml:space="preserve">Vedi Prontuario Sanitario Prot. </w:t>
      </w:r>
      <w:r>
        <w:rPr>
          <w:sz w:val="20"/>
          <w:szCs w:val="20"/>
          <w:shd w:fill="auto" w:val="clear"/>
        </w:rPr>
        <w:t>51519</w:t>
      </w:r>
      <w:r>
        <w:rPr>
          <w:sz w:val="20"/>
          <w:szCs w:val="20"/>
          <w:shd w:fill="auto" w:val="clear"/>
        </w:rPr>
        <w:t xml:space="preserve"> del </w:t>
      </w:r>
      <w:r>
        <w:rPr>
          <w:sz w:val="20"/>
          <w:szCs w:val="20"/>
          <w:shd w:fill="auto" w:val="clear"/>
        </w:rPr>
        <w:t>16</w:t>
      </w:r>
      <w:r>
        <w:rPr>
          <w:sz w:val="20"/>
          <w:szCs w:val="20"/>
          <w:shd w:fill="auto" w:val="clear"/>
        </w:rPr>
        <w:t>/</w:t>
      </w:r>
      <w:r>
        <w:rPr>
          <w:sz w:val="20"/>
          <w:szCs w:val="20"/>
          <w:shd w:fill="auto" w:val="clear"/>
        </w:rPr>
        <w:t>11</w:t>
      </w:r>
      <w:r>
        <w:rPr>
          <w:sz w:val="20"/>
          <w:szCs w:val="20"/>
          <w:shd w:fill="auto" w:val="clear"/>
        </w:rPr>
        <w:t>/20</w:t>
      </w:r>
      <w:r>
        <w:rPr>
          <w:sz w:val="20"/>
          <w:szCs w:val="20"/>
          <w:shd w:fill="auto" w:val="clear"/>
        </w:rPr>
        <w:t>23</w:t>
      </w:r>
      <w:r>
        <w:rPr>
          <w:sz w:val="20"/>
          <w:szCs w:val="20"/>
          <w:shd w:fill="auto" w:val="clear"/>
        </w:rPr>
        <w:t>.</w:t>
      </w:r>
    </w:p>
    <w:p>
      <w:pPr>
        <w:pStyle w:val="FootnoteText"/>
        <w:rPr>
          <w:sz w:val="16"/>
          <w:szCs w:val="16"/>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A"/>
      <w:tabs>
        <w:tab w:val="clear" w:pos="709"/>
        <w:tab w:val="center" w:pos="4819" w:leader="none"/>
        <w:tab w:val="right" w:pos="9612" w:leader="none"/>
      </w:tabs>
      <w:spacing w:lineRule="auto" w:line="360"/>
      <w:ind w:hanging="0"/>
      <w:jc w:val="both"/>
      <w:rPr>
        <w:rFonts w:ascii="Times New Roman" w:hAnsi="Times New Roman" w:cs="Times New Roman"/>
        <w:b/>
        <w:bCs/>
        <w:sz w:val="28"/>
        <w:szCs w:val="28"/>
      </w:rPr>
    </w:pPr>
    <w:r>
      <w:drawing>
        <wp:anchor behindDoc="1" distT="0" distB="0" distL="114300" distR="114300" simplePos="0" locked="0" layoutInCell="0" allowOverlap="1" relativeHeight="15">
          <wp:simplePos x="0" y="0"/>
          <wp:positionH relativeFrom="column">
            <wp:posOffset>-560070</wp:posOffset>
          </wp:positionH>
          <wp:positionV relativeFrom="paragraph">
            <wp:posOffset>5715</wp:posOffset>
          </wp:positionV>
          <wp:extent cx="887730" cy="887730"/>
          <wp:effectExtent l="0" t="0" r="0" b="0"/>
          <wp:wrapSquare wrapText="bothSides"/>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09"/>
        <w:tab w:val="center" w:pos="4819" w:leader="none"/>
        <w:tab w:val="right" w:pos="9612" w:leader="none"/>
      </w:tabs>
      <w:spacing w:lineRule="auto" w:line="360"/>
      <w:ind w:hanging="0" w:left="72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09"/>
        <w:tab w:val="center" w:pos="4819" w:leader="none"/>
        <w:tab w:val="right" w:pos="9612" w:leader="none"/>
      </w:tabs>
      <w:spacing w:lineRule="auto" w:line="360"/>
      <w:ind w:hanging="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09"/>
        <w:tab w:val="center" w:pos="4819" w:leader="none"/>
        <w:tab w:val="right" w:pos="9612" w:leader="none"/>
      </w:tabs>
      <w:spacing w:lineRule="auto" w:line="240"/>
      <w:ind w:hanging="0" w:left="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0547/79321/329/318</w:t>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A"/>
      <w:tabs>
        <w:tab w:val="clear" w:pos="709"/>
        <w:tab w:val="center" w:pos="4819" w:leader="none"/>
        <w:tab w:val="right" w:pos="9612" w:leader="none"/>
      </w:tabs>
      <w:spacing w:lineRule="auto" w:line="360"/>
      <w:ind w:hanging="0"/>
      <w:jc w:val="both"/>
      <w:rPr>
        <w:rFonts w:ascii="Times New Roman" w:hAnsi="Times New Roman" w:cs="Times New Roman"/>
        <w:b/>
        <w:bCs/>
        <w:sz w:val="28"/>
        <w:szCs w:val="28"/>
      </w:rPr>
    </w:pPr>
    <w:r>
      <w:drawing>
        <wp:anchor behindDoc="1" distT="0" distB="0" distL="114300" distR="114300" simplePos="0" locked="0" layoutInCell="0" allowOverlap="1" relativeHeight="15">
          <wp:simplePos x="0" y="0"/>
          <wp:positionH relativeFrom="column">
            <wp:posOffset>-560070</wp:posOffset>
          </wp:positionH>
          <wp:positionV relativeFrom="paragraph">
            <wp:posOffset>5715</wp:posOffset>
          </wp:positionV>
          <wp:extent cx="887730" cy="887730"/>
          <wp:effectExtent l="0" t="0" r="0" b="0"/>
          <wp:wrapSquare wrapText="bothSides"/>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09"/>
        <w:tab w:val="center" w:pos="4819" w:leader="none"/>
        <w:tab w:val="right" w:pos="9612" w:leader="none"/>
      </w:tabs>
      <w:spacing w:lineRule="auto" w:line="360"/>
      <w:ind w:hanging="0" w:left="72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09"/>
        <w:tab w:val="center" w:pos="4819" w:leader="none"/>
        <w:tab w:val="right" w:pos="9612" w:leader="none"/>
      </w:tabs>
      <w:spacing w:lineRule="auto" w:line="360"/>
      <w:ind w:hanging="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09"/>
        <w:tab w:val="center" w:pos="4819" w:leader="none"/>
        <w:tab w:val="right" w:pos="9612" w:leader="none"/>
      </w:tabs>
      <w:spacing w:lineRule="auto" w:line="240"/>
      <w:ind w:hanging="0" w:left="0"/>
      <w:jc w:val="left"/>
      <w:rPr>
        <w:rFonts w:ascii="Times New Roman" w:hAnsi="Times New Roman" w:cs="Times New Roman"/>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0547/79321/329/318</w:t>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0"/>
        </w:tabs>
        <w:ind w:left="360" w:hanging="360"/>
      </w:pPr>
      <w:rPr>
        <w:sz w:val="24"/>
        <w:szCs w:val="24"/>
        <w:rFonts w:eastAsia="Batang;바탕"/>
      </w:rPr>
    </w:lvl>
    <w:lvl w:ilvl="1">
      <w:start w:val="1"/>
      <w:numFmt w:val="lowerLetter"/>
      <w:lvlText w:val="%1.%2."/>
      <w:lvlJc w:val="left"/>
      <w:pPr>
        <w:tabs>
          <w:tab w:val="num" w:pos="0"/>
        </w:tabs>
        <w:ind w:left="720" w:hanging="360"/>
      </w:pPr>
      <w:rPr>
        <w:rFonts w:ascii="Courier New" w:hAnsi="Courier New" w:eastAsia="Courier New"/>
      </w:rPr>
    </w:lvl>
    <w:lvl w:ilvl="2">
      <w:start w:val="1"/>
      <w:numFmt w:val="lowerRoman"/>
      <w:lvlText w:val="%2.%3."/>
      <w:lvlJc w:val="left"/>
      <w:pPr>
        <w:tabs>
          <w:tab w:val="num" w:pos="0"/>
        </w:tabs>
        <w:ind w:left="1080" w:hanging="360"/>
      </w:pPr>
      <w:rPr/>
    </w:lvl>
    <w:lvl w:ilvl="3">
      <w:start w:val="1"/>
      <w:numFmt w:val="decimal"/>
      <w:lvlText w:val="%3.%4."/>
      <w:lvlJc w:val="left"/>
      <w:pPr>
        <w:tabs>
          <w:tab w:val="num" w:pos="0"/>
        </w:tabs>
        <w:ind w:left="1440" w:hanging="360"/>
      </w:pPr>
      <w:rPr/>
    </w:lvl>
    <w:lvl w:ilvl="4">
      <w:start w:val="1"/>
      <w:numFmt w:val="lowerLetter"/>
      <w:lvlText w:val="%4.%5."/>
      <w:lvlJc w:val="left"/>
      <w:pPr>
        <w:tabs>
          <w:tab w:val="num" w:pos="0"/>
        </w:tabs>
        <w:ind w:left="1800" w:hanging="360"/>
      </w:pPr>
      <w:rPr/>
    </w:lvl>
    <w:lvl w:ilvl="5">
      <w:start w:val="1"/>
      <w:numFmt w:val="lowerRoman"/>
      <w:lvlText w:val="%5.%6."/>
      <w:lvlJc w:val="left"/>
      <w:pPr>
        <w:tabs>
          <w:tab w:val="num" w:pos="0"/>
        </w:tabs>
        <w:ind w:left="2160" w:hanging="360"/>
      </w:pPr>
      <w:rPr/>
    </w:lvl>
    <w:lvl w:ilvl="6">
      <w:start w:val="1"/>
      <w:numFmt w:val="decimal"/>
      <w:lvlText w:val="%6.%7."/>
      <w:lvlJc w:val="left"/>
      <w:pPr>
        <w:tabs>
          <w:tab w:val="num" w:pos="0"/>
        </w:tabs>
        <w:ind w:left="2520" w:hanging="360"/>
      </w:pPr>
      <w:rPr/>
    </w:lvl>
    <w:lvl w:ilvl="7">
      <w:start w:val="1"/>
      <w:numFmt w:val="lowerLetter"/>
      <w:lvlText w:val="%7.%8."/>
      <w:lvlJc w:val="left"/>
      <w:pPr>
        <w:tabs>
          <w:tab w:val="num" w:pos="0"/>
        </w:tabs>
        <w:ind w:left="2880" w:hanging="360"/>
      </w:pPr>
      <w:rPr/>
    </w:lvl>
    <w:lvl w:ilvl="8">
      <w:start w:val="1"/>
      <w:numFmt w:val="lowerRoman"/>
      <w:lvlText w:val="%8.%9."/>
      <w:lvlJc w:val="left"/>
      <w:pPr>
        <w:tabs>
          <w:tab w:val="num" w:pos="0"/>
        </w:tabs>
        <w:ind w:left="3240" w:hanging="360"/>
      </w:pPr>
      <w:rPr/>
    </w:lvl>
  </w:abstractNum>
  <w:abstractNum w:abstractNumId="4">
    <w:lvl w:ilvl="0">
      <w:start w:val="1"/>
      <w:numFmt w:val="bullet"/>
      <w:lvlText w:val=""/>
      <w:lvlJc w:val="left"/>
      <w:pPr>
        <w:tabs>
          <w:tab w:val="num" w:pos="720"/>
        </w:tabs>
        <w:ind w:left="720" w:hanging="360"/>
      </w:pPr>
      <w:rPr>
        <w:rFonts w:ascii="Symbol" w:hAnsi="Symbol" w:cs="Symbol" w:hint="default"/>
        <w:sz w:val="24"/>
        <w:shd w:fill="auto" w:val="clear"/>
        <w:szCs w:val="24"/>
        <w:lang w:eastAsia="en-U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shd w:fill="auto" w:val="clear"/>
        <w:szCs w:val="24"/>
        <w:lang w:eastAsia="en-US"/>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shd w:fill="auto" w:val="clear"/>
        <w:szCs w:val="24"/>
        <w:lang w:eastAsia="en-US"/>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lowerLetter"/>
      <w:lvlText w:val="%1."/>
      <w:lvlJc w:val="left"/>
      <w:pPr>
        <w:tabs>
          <w:tab w:val="num" w:pos="0"/>
        </w:tabs>
        <w:ind w:left="720" w:hanging="360"/>
      </w:pPr>
      <w:rPr>
        <w:sz w:val="24"/>
        <w:i/>
        <w:szCs w:val="24"/>
        <w:rFonts w:ascii="Times New Roman" w:hAnsi="Times New Roman" w:eastAsia="Batang;바탕"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3552"/>
        </w:tabs>
        <w:ind w:left="355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3552"/>
        </w:tabs>
        <w:ind w:left="355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720"/>
        </w:tabs>
        <w:ind w:left="720" w:hanging="360"/>
      </w:pPr>
      <w:rPr>
        <w:sz w:val="24"/>
        <w:szCs w:val="24"/>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86"/>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5061"/>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Titolo"/>
    <w:qFormat/>
    <w:pPr/>
    <w:rPr/>
  </w:style>
  <w:style w:type="paragraph" w:styleId="Heading2">
    <w:name w:val="Heading 2"/>
    <w:basedOn w:val="Normal"/>
    <w:link w:val="Titolo2Carattere"/>
    <w:uiPriority w:val="9"/>
    <w:qFormat/>
    <w:rsid w:val="00e67570"/>
    <w:pPr>
      <w:spacing w:beforeAutospacing="1" w:afterAutospacing="1"/>
      <w:outlineLvl w:val="1"/>
    </w:pPr>
    <w:rPr>
      <w:rFonts w:eastAsia="Times New Roman"/>
      <w:b/>
      <w:bCs/>
      <w:sz w:val="36"/>
      <w:szCs w:val="36"/>
      <w:lang w:val="it-IT" w:eastAsia="it-IT"/>
    </w:rPr>
  </w:style>
  <w:style w:type="paragraph" w:styleId="Heading3">
    <w:name w:val="Heading 3"/>
    <w:basedOn w:val="Titolo"/>
    <w:qFormat/>
    <w:pPr/>
    <w:rPr/>
  </w:style>
  <w:style w:type="paragraph" w:styleId="Heading4">
    <w:name w:val="Heading 4"/>
    <w:basedOn w:val="Titolo"/>
    <w:qFormat/>
    <w:pPr/>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9f7a6a"/>
    <w:rPr>
      <w:color w:val="0000FF"/>
      <w:u w:val="single"/>
    </w:rPr>
  </w:style>
  <w:style w:type="character" w:styleId="TestofumettoCarattere" w:customStyle="1">
    <w:name w:val="Testo fumetto Carattere"/>
    <w:basedOn w:val="DefaultParagraphFont"/>
    <w:link w:val="Testofumetto"/>
    <w:uiPriority w:val="99"/>
    <w:semiHidden/>
    <w:qFormat/>
    <w:rsid w:val="000c2495"/>
    <w:rPr>
      <w:rFonts w:ascii="Tahoma" w:hAnsi="Tahoma" w:cs="Tahoma"/>
      <w:sz w:val="16"/>
      <w:szCs w:val="16"/>
      <w:lang w:val="en-US" w:eastAsia="en-US"/>
    </w:rPr>
  </w:style>
  <w:style w:type="character" w:styleId="Strong" w:customStyle="1">
    <w:name w:val="Strong"/>
    <w:qFormat/>
    <w:rsid w:val="005210b9"/>
    <w:rPr>
      <w:b/>
      <w:bCs/>
    </w:rPr>
  </w:style>
  <w:style w:type="character" w:styleId="Titolo2Carattere" w:customStyle="1">
    <w:name w:val="Titolo 2 Carattere"/>
    <w:basedOn w:val="DefaultParagraphFont"/>
    <w:uiPriority w:val="9"/>
    <w:qFormat/>
    <w:rsid w:val="00e67570"/>
    <w:rPr>
      <w:rFonts w:eastAsia="Times New Roman"/>
      <w:b/>
      <w:bCs/>
      <w:sz w:val="36"/>
      <w:szCs w:val="36"/>
    </w:rPr>
  </w:style>
  <w:style w:type="character" w:styleId="Nessuno" w:customStyle="1">
    <w:name w:val="Nessuno"/>
    <w:qFormat/>
    <w:rsid w:val="00950a88"/>
    <w:rPr/>
  </w:style>
  <w:style w:type="character" w:styleId="Emphasis" w:customStyle="1">
    <w:name w:val="Emphasis"/>
    <w:qFormat/>
    <w:rsid w:val="005210b9"/>
    <w:rPr>
      <w:i/>
      <w:iCs/>
    </w:rPr>
  </w:style>
  <w:style w:type="character" w:styleId="PidipaginaCarattere">
    <w:name w:val="Piè di pagina Carattere"/>
    <w:qFormat/>
    <w:rPr>
      <w:rFonts w:ascii="Arial" w:hAnsi="Arial" w:eastAsia="Arial"/>
      <w:sz w:val="22"/>
    </w:rPr>
  </w:style>
  <w:style w:type="character" w:styleId="IntestazioneCarattere">
    <w:name w:val="Intestazione Carattere"/>
    <w:qFormat/>
    <w:rPr>
      <w:rFonts w:ascii="Arial" w:hAnsi="Arial" w:eastAsia="Arial"/>
      <w:sz w:val="22"/>
    </w:rPr>
  </w:style>
  <w:style w:type="character" w:styleId="Corpodeltesto3Carattere">
    <w:name w:val="Corpo del testo 3 Carattere"/>
    <w:qFormat/>
    <w:rPr>
      <w:rFonts w:ascii="Arial" w:hAnsi="Arial" w:eastAsia="Arial"/>
      <w:sz w:val="16"/>
      <w:szCs w:val="16"/>
    </w:rPr>
  </w:style>
  <w:style w:type="character" w:styleId="Carpredefinitoparagrafo">
    <w:name w:val="Car. predefinito paragrafo"/>
    <w:qFormat/>
    <w:rPr/>
  </w:style>
  <w:style w:type="character" w:styleId="WW8Num5z1">
    <w:name w:val="WW8Num5z1"/>
    <w:qFormat/>
    <w:rPr>
      <w:rFonts w:ascii="Courier New" w:hAnsi="Courier New" w:eastAsia="Courier New"/>
    </w:rPr>
  </w:style>
  <w:style w:type="character" w:styleId="WW8Num4z0">
    <w:name w:val="WW8Num4z0"/>
    <w:qFormat/>
    <w:rPr/>
  </w:style>
  <w:style w:type="character" w:styleId="WW8Num3z1">
    <w:name w:val="WW8Num3z1"/>
    <w:qFormat/>
    <w:rPr>
      <w:rFonts w:ascii="Courier New" w:hAnsi="Courier New" w:eastAsia="Courier New"/>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FollowedHyperlink">
    <w:name w:val="FollowedHyperlink"/>
    <w:rPr>
      <w:color w:val="800080"/>
      <w:u w:val="single"/>
    </w:rPr>
  </w:style>
  <w:style w:type="character" w:styleId="WW8Num5z0">
    <w:name w:val="WW8Num5z0"/>
    <w:qFormat/>
    <w:rPr>
      <w:rFonts w:eastAsia="Batang;바탕"/>
      <w:sz w:val="24"/>
      <w:szCs w:val="24"/>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9z0">
    <w:name w:val="WW8Num9z0"/>
    <w:qFormat/>
    <w:rPr>
      <w:rFonts w:ascii="Symbol" w:hAnsi="Symbol" w:cs="OpenSymbol;Arial Unicode MS"/>
      <w:sz w:val="24"/>
      <w:szCs w:val="24"/>
      <w:shd w:fill="auto" w:val="clear"/>
      <w:lang w:eastAsia="en-US"/>
    </w:rPr>
  </w:style>
  <w:style w:type="character" w:styleId="WW8Num9z1">
    <w:name w:val="WW8Num9z1"/>
    <w:qFormat/>
    <w:rPr>
      <w:rFonts w:ascii="OpenSymbol;Arial Unicode MS" w:hAnsi="OpenSymbol;Arial Unicode MS" w:cs="OpenSymbol;Arial Unicode MS"/>
    </w:rPr>
  </w:style>
  <w:style w:type="character" w:styleId="WW8Num6z0">
    <w:name w:val="WW8Num6z0"/>
    <w:qFormat/>
    <w:rPr>
      <w:rFonts w:ascii="Times New Roman" w:hAnsi="Times New Roman" w:eastAsia="Batang;바탕" w:cs="Times New Roman"/>
      <w:i/>
      <w:sz w:val="24"/>
      <w:szCs w:val="24"/>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WW8Num7z0">
    <w:name w:val="WW8Num7z0"/>
    <w:qFormat/>
    <w:rPr>
      <w:rFonts w:ascii="Symbol" w:hAnsi="Symbol" w:cs="Symbol"/>
    </w:rPr>
  </w:style>
  <w:style w:type="character" w:styleId="WW8Num2z0">
    <w:name w:val="WW8Num2z0"/>
    <w:qFormat/>
    <w:rPr>
      <w:rFonts w:ascii="Symbol" w:hAnsi="Symbol" w:cs="Symbol"/>
    </w:rPr>
  </w:style>
  <w:style w:type="character" w:styleId="WW8Num3z0">
    <w:name w:val="WW8Num3z0"/>
    <w:qFormat/>
    <w:rPr>
      <w:color w:val="000000"/>
      <w:sz w:val="24"/>
      <w:szCs w:val="24"/>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NormalA" w:customStyle="1">
    <w:name w:val="normal A"/>
    <w:qFormat/>
    <w:rsid w:val="00ad5061"/>
    <w:pPr>
      <w:widowControl/>
      <w:suppressAutoHyphens w:val="true"/>
      <w:bidi w:val="0"/>
      <w:spacing w:lineRule="atLeast" w:line="20" w:before="0" w:after="0"/>
      <w:jc w:val="left"/>
      <w:outlineLvl w:val="0"/>
    </w:pPr>
    <w:rPr>
      <w:rFonts w:ascii="Cambria" w:hAnsi="Cambria" w:eastAsia="Arial Unicode MS" w:cs="Arial Unicode MS"/>
      <w:color w:val="000000"/>
      <w:kern w:val="0"/>
      <w:sz w:val="20"/>
      <w:szCs w:val="20"/>
      <w:u w:val="none" w:color="000000"/>
      <w:lang w:val="it-IT" w:eastAsia="it-IT" w:bidi="ar-SA"/>
    </w:rPr>
  </w:style>
  <w:style w:type="paragraph" w:styleId="Didefault" w:customStyle="1">
    <w:name w:val="Di default"/>
    <w:qFormat/>
    <w:rsid w:val="00ad5061"/>
    <w:pPr>
      <w:widowControl/>
      <w:suppressAutoHyphens w:val="true"/>
      <w:bidi w:val="0"/>
      <w:spacing w:before="160" w:after="0"/>
      <w:jc w:val="left"/>
    </w:pPr>
    <w:rPr>
      <w:rFonts w:ascii="Helvetica Neue" w:hAnsi="Helvetica Neue" w:eastAsia="Helvetica Neue" w:cs="Helvetica Neue"/>
      <w:color w:val="000000"/>
      <w:kern w:val="0"/>
      <w:sz w:val="24"/>
      <w:szCs w:val="24"/>
      <w:lang w:val="it-IT" w:eastAsia="it-IT" w:bidi="ar-SA"/>
    </w:rPr>
  </w:style>
  <w:style w:type="paragraph" w:styleId="BalloonText">
    <w:name w:val="Balloon Text"/>
    <w:basedOn w:val="Normal"/>
    <w:link w:val="TestofumettoCarattere"/>
    <w:uiPriority w:val="99"/>
    <w:semiHidden/>
    <w:unhideWhenUsed/>
    <w:qFormat/>
    <w:rsid w:val="000c2495"/>
    <w:pPr/>
    <w:rPr>
      <w:rFonts w:ascii="Tahoma" w:hAnsi="Tahoma" w:cs="Tahoma"/>
      <w:sz w:val="16"/>
      <w:szCs w:val="16"/>
    </w:rPr>
  </w:style>
  <w:style w:type="paragraph" w:styleId="NormalWeb">
    <w:name w:val="Normal (Web)"/>
    <w:basedOn w:val="Normal"/>
    <w:uiPriority w:val="99"/>
    <w:unhideWhenUsed/>
    <w:qFormat/>
    <w:rsid w:val="004e3b2b"/>
    <w:pPr>
      <w:spacing w:beforeAutospacing="1" w:afterAutospacing="1"/>
    </w:pPr>
    <w:rPr>
      <w:rFonts w:eastAsia="Times New Roman"/>
      <w:lang w:val="it-IT" w:eastAsia="it-IT"/>
    </w:rPr>
  </w:style>
  <w:style w:type="paragraph" w:styleId="Normale1" w:customStyle="1">
    <w:name w:val="Normale1"/>
    <w:qFormat/>
    <w:rsid w:val="00950a88"/>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extbody" w:customStyle="1">
    <w:name w:val="Text body"/>
    <w:basedOn w:val="Normal"/>
    <w:qFormat/>
    <w:rsid w:val="005210b9"/>
    <w:pPr>
      <w:widowControl w:val="false"/>
      <w:spacing w:before="0" w:after="120"/>
      <w:textAlignment w:val="baseline"/>
    </w:pPr>
    <w:rPr>
      <w:rFonts w:eastAsia="SimSun" w:cs="Arial"/>
      <w:kern w:val="2"/>
      <w:lang w:val="it-IT" w:eastAsia="zh-CN" w:bidi="hi-IN"/>
    </w:rPr>
  </w:style>
  <w:style w:type="paragraph" w:styleId="Intestazioneepidipagina" w:customStyle="1">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paragraph" w:styleId="Testofumetto">
    <w:name w:val="Testo fumetto"/>
    <w:basedOn w:val="Normal"/>
    <w:qFormat/>
    <w:pPr/>
    <w:rPr>
      <w:rFonts w:ascii="Tahoma" w:hAnsi="Tahoma" w:eastAsia="Tahoma"/>
      <w:sz w:val="16"/>
      <w:szCs w:val="16"/>
      <w:lang w:eastAsia="ar-SA"/>
    </w:rPr>
  </w:style>
  <w:style w:type="paragraph" w:styleId="Corpodeltesto3">
    <w:name w:val="Corpo del testo 3"/>
    <w:basedOn w:val="Normal"/>
    <w:qFormat/>
    <w:pPr>
      <w:spacing w:before="0" w:after="120"/>
    </w:pPr>
    <w:rPr>
      <w:sz w:val="16"/>
    </w:rPr>
  </w:style>
  <w:style w:type="paragraph" w:styleId="Corpodeltesto2">
    <w:name w:val="Corpo del testo 2"/>
    <w:basedOn w:val="Normal"/>
    <w:qFormat/>
    <w:pPr>
      <w:jc w:val="both"/>
    </w:pPr>
    <w:rPr>
      <w:rFonts w:ascii="Times New Roman" w:hAnsi="Times New Roman" w:eastAsia="Times New Roman"/>
      <w:b/>
      <w:sz w:val="20"/>
      <w:lang w:eastAsia="ar-SA"/>
    </w:rPr>
  </w:style>
  <w:style w:type="paragraph" w:styleId="Rientrocorpodeltesto2">
    <w:name w:val="Rientro corpo del testo 2"/>
    <w:basedOn w:val="Normal"/>
    <w:qFormat/>
    <w:pPr>
      <w:ind w:firstLine="708"/>
      <w:jc w:val="both"/>
    </w:pPr>
    <w:rPr>
      <w:rFonts w:ascii="Times New Roman" w:hAnsi="Times New Roman" w:eastAsia="Times New Roman"/>
      <w:sz w:val="20"/>
      <w:lang w:eastAsia="ar-SA"/>
    </w:rPr>
  </w:style>
  <w:style w:type="paragraph" w:styleId="BodyTextIndent">
    <w:name w:val="Body Text Indent"/>
    <w:basedOn w:val="BodyText"/>
    <w:pPr/>
    <w:rPr/>
  </w:style>
  <w:style w:type="paragraph" w:styleId="FootnoteText">
    <w:name w:val="Footnote Text"/>
    <w:basedOn w:val="Normal"/>
    <w:pPr>
      <w:suppressLineNumbers/>
      <w:ind w:hanging="339" w:left="339"/>
    </w:pPr>
    <w:rPr>
      <w:sz w:val="20"/>
      <w:szCs w:val="20"/>
    </w:rPr>
  </w:style>
  <w:style w:type="paragraph" w:styleId="Contenutocornice">
    <w:name w:val="Contenuto cornice"/>
    <w:basedOn w:val="Normal"/>
    <w:qFormat/>
    <w:pPr/>
    <w:rPr/>
  </w:style>
  <w:style w:type="numbering" w:styleId="NoList" w:default="1">
    <w:name w:val="No List"/>
    <w:uiPriority w:val="99"/>
    <w:semiHidden/>
    <w:unhideWhenUsed/>
    <w:qFormat/>
  </w:style>
  <w:style w:type="numbering" w:styleId="WW8Num4">
    <w:name w:val="WW8Num4"/>
    <w:qFormat/>
  </w:style>
  <w:style w:type="numbering" w:styleId="WW8Num5">
    <w:name w:val="WW8Num5"/>
    <w:qFormat/>
  </w:style>
  <w:style w:type="numbering" w:styleId="WW8Num9">
    <w:name w:val="WW8Num9"/>
    <w:qFormat/>
  </w:style>
  <w:style w:type="numbering" w:styleId="WW8Num6">
    <w:name w:val="WW8Num6"/>
    <w:qFormat/>
  </w:style>
  <w:style w:type="numbering" w:styleId="WW8Num7">
    <w:name w:val="WW8Num7"/>
    <w:qFormat/>
  </w:style>
  <w:style w:type="numbering" w:styleId="WW8Num2">
    <w:name w:val="WW8Num2"/>
    <w:qFormat/>
  </w:style>
  <w:style w:type="numbering" w:styleId="WW8Num3">
    <w:name w:val="WW8Num3"/>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d50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cesenatico.fc.it/" TargetMode="External"/><Relationship Id="rId3" Type="http://schemas.openxmlformats.org/officeDocument/2006/relationships/hyperlink" Target="mailto:servizioscuola@comune.cesenatico.fc.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391</TotalTime>
  <Application>LibreOffice/24.2.0.3$Windows_X86_64 LibreOffice_project/da48488a73ddd66ea24cf16bbc4f7b9c08e9bea1</Application>
  <AppVersion>15.0000</AppVersion>
  <Pages>14</Pages>
  <Words>3797</Words>
  <Characters>22194</Characters>
  <CharactersWithSpaces>25903</CharactersWithSpaces>
  <Paragraphs>433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Zani</dc:creator>
  <dc:description/>
  <dc:language>it-IT</dc:language>
  <cp:lastModifiedBy/>
  <cp:lastPrinted>2024-03-14T11:44:45Z</cp:lastPrinted>
  <dcterms:modified xsi:type="dcterms:W3CDTF">2024-03-14T11:46:28Z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